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F500A" w14:textId="77777777" w:rsidR="007E7A7A" w:rsidRDefault="007E7A7A">
      <w:pPr>
        <w:sectPr w:rsidR="007E7A7A">
          <w:headerReference w:type="default" r:id="rId8"/>
          <w:footerReference w:type="default" r:id="rId9"/>
          <w:type w:val="continuous"/>
          <w:pgSz w:w="12240" w:h="15840" w:code="1"/>
          <w:pgMar w:top="2340" w:right="1800" w:bottom="1170" w:left="1800" w:header="720" w:footer="720" w:gutter="0"/>
          <w:cols w:space="720"/>
        </w:sectPr>
      </w:pPr>
    </w:p>
    <w:p w14:paraId="2DFBCDD5" w14:textId="77777777" w:rsidR="00DD4FBC" w:rsidRDefault="00DD4FBC" w:rsidP="00DD4FBC">
      <w:pPr>
        <w:rPr>
          <w:bCs/>
          <w:szCs w:val="24"/>
        </w:rPr>
      </w:pPr>
      <w:r w:rsidRPr="005054BE">
        <w:rPr>
          <w:b/>
          <w:szCs w:val="24"/>
        </w:rPr>
        <w:t>TO:</w:t>
      </w:r>
      <w:r w:rsidRPr="005054BE">
        <w:rPr>
          <w:b/>
          <w:szCs w:val="24"/>
        </w:rPr>
        <w:tab/>
      </w:r>
      <w:r w:rsidRPr="005054BE">
        <w:rPr>
          <w:b/>
          <w:szCs w:val="24"/>
        </w:rPr>
        <w:tab/>
      </w:r>
      <w:r>
        <w:rPr>
          <w:bCs/>
          <w:szCs w:val="24"/>
        </w:rPr>
        <w:t>Chairman Peter Lake</w:t>
      </w:r>
    </w:p>
    <w:p w14:paraId="3014298A" w14:textId="77777777" w:rsidR="00DD4FBC" w:rsidRDefault="00DD4FBC" w:rsidP="00DD4FBC">
      <w:pPr>
        <w:rPr>
          <w:bCs/>
          <w:szCs w:val="24"/>
        </w:rPr>
      </w:pPr>
      <w:r>
        <w:rPr>
          <w:bCs/>
          <w:szCs w:val="24"/>
        </w:rPr>
        <w:tab/>
      </w:r>
      <w:r>
        <w:rPr>
          <w:bCs/>
          <w:szCs w:val="24"/>
        </w:rPr>
        <w:tab/>
        <w:t>Commissioner Will McAdams</w:t>
      </w:r>
    </w:p>
    <w:p w14:paraId="108A5FB6" w14:textId="77777777" w:rsidR="00DD4FBC" w:rsidRDefault="00DD4FBC" w:rsidP="00DD4FBC">
      <w:pPr>
        <w:rPr>
          <w:bCs/>
          <w:szCs w:val="24"/>
        </w:rPr>
      </w:pPr>
      <w:r>
        <w:rPr>
          <w:bCs/>
          <w:szCs w:val="24"/>
        </w:rPr>
        <w:tab/>
      </w:r>
      <w:r>
        <w:rPr>
          <w:bCs/>
          <w:szCs w:val="24"/>
        </w:rPr>
        <w:tab/>
        <w:t>Commissioner Lori Cobos</w:t>
      </w:r>
    </w:p>
    <w:p w14:paraId="27869505" w14:textId="77777777" w:rsidR="00DD4FBC" w:rsidRPr="005054BE" w:rsidRDefault="00DD4FBC" w:rsidP="00DD4FBC">
      <w:pPr>
        <w:rPr>
          <w:b/>
          <w:szCs w:val="24"/>
        </w:rPr>
      </w:pPr>
      <w:r>
        <w:rPr>
          <w:bCs/>
          <w:szCs w:val="24"/>
        </w:rPr>
        <w:tab/>
      </w:r>
      <w:r>
        <w:rPr>
          <w:bCs/>
          <w:szCs w:val="24"/>
        </w:rPr>
        <w:tab/>
        <w:t>Commissioner Jimmy Glotfelty</w:t>
      </w:r>
    </w:p>
    <w:p w14:paraId="784C7700" w14:textId="77777777" w:rsidR="007E7A7A" w:rsidRPr="00D70E7D" w:rsidRDefault="007E7A7A">
      <w:pPr>
        <w:tabs>
          <w:tab w:val="left" w:pos="1170"/>
        </w:tabs>
      </w:pPr>
      <w:r w:rsidRPr="00D70E7D">
        <w:tab/>
      </w:r>
      <w:r w:rsidRPr="00D70E7D">
        <w:tab/>
      </w:r>
    </w:p>
    <w:p w14:paraId="287E3D74" w14:textId="664EF359" w:rsidR="00732686" w:rsidRPr="009056FC" w:rsidRDefault="007E7A7A" w:rsidP="00732686">
      <w:pPr>
        <w:tabs>
          <w:tab w:val="left" w:pos="1170"/>
        </w:tabs>
        <w:rPr>
          <w:bCs/>
        </w:rPr>
      </w:pPr>
      <w:r w:rsidRPr="009A7065">
        <w:rPr>
          <w:b/>
        </w:rPr>
        <w:t>FROM:</w:t>
      </w:r>
      <w:r w:rsidR="003E5B27" w:rsidRPr="009A7065">
        <w:rPr>
          <w:b/>
        </w:rPr>
        <w:tab/>
      </w:r>
      <w:r w:rsidR="009A7065">
        <w:rPr>
          <w:b/>
        </w:rPr>
        <w:tab/>
      </w:r>
      <w:r w:rsidR="009056FC" w:rsidRPr="009056FC">
        <w:rPr>
          <w:bCs/>
        </w:rPr>
        <w:t>R. Floyd Walker, Market Analysis Division</w:t>
      </w:r>
    </w:p>
    <w:p w14:paraId="0E085626" w14:textId="261D76F0" w:rsidR="00281EE0" w:rsidRPr="009056FC" w:rsidRDefault="00281EE0" w:rsidP="00732686">
      <w:pPr>
        <w:tabs>
          <w:tab w:val="left" w:pos="1170"/>
        </w:tabs>
        <w:rPr>
          <w:bCs/>
        </w:rPr>
      </w:pPr>
      <w:r w:rsidRPr="009056FC">
        <w:rPr>
          <w:bCs/>
        </w:rPr>
        <w:tab/>
      </w:r>
      <w:r w:rsidRPr="009056FC">
        <w:rPr>
          <w:bCs/>
        </w:rPr>
        <w:tab/>
      </w:r>
      <w:r w:rsidR="009056FC" w:rsidRPr="009056FC">
        <w:rPr>
          <w:bCs/>
        </w:rPr>
        <w:t>Therese Harris, Infrastructure Division</w:t>
      </w:r>
    </w:p>
    <w:p w14:paraId="70DD9C76" w14:textId="6F73B7AE" w:rsidR="0088133C" w:rsidRPr="00D70E7D" w:rsidRDefault="007E7A7A">
      <w:pPr>
        <w:tabs>
          <w:tab w:val="left" w:pos="1170"/>
        </w:tabs>
        <w:spacing w:before="240"/>
      </w:pPr>
      <w:r w:rsidRPr="009A7065">
        <w:rPr>
          <w:b/>
        </w:rPr>
        <w:t>DATE:</w:t>
      </w:r>
      <w:r w:rsidRPr="009A7065">
        <w:rPr>
          <w:b/>
        </w:rPr>
        <w:tab/>
      </w:r>
      <w:r w:rsidR="00C90D29" w:rsidRPr="009A7065">
        <w:rPr>
          <w:b/>
        </w:rPr>
        <w:tab/>
      </w:r>
      <w:r w:rsidR="009056FC" w:rsidRPr="00CD6BE5">
        <w:rPr>
          <w:bCs/>
        </w:rPr>
        <w:t>June 1, 2022</w:t>
      </w:r>
      <w:r w:rsidR="009A7065">
        <w:br/>
      </w:r>
    </w:p>
    <w:p w14:paraId="00C83E9A" w14:textId="20C10B83" w:rsidR="00C90D29" w:rsidRPr="002C5195" w:rsidRDefault="003E5B27" w:rsidP="009A7065">
      <w:pPr>
        <w:ind w:left="1440" w:right="-450" w:hanging="1440"/>
        <w:rPr>
          <w:b/>
          <w:iCs/>
        </w:rPr>
      </w:pPr>
      <w:r w:rsidRPr="009A7065">
        <w:rPr>
          <w:b/>
        </w:rPr>
        <w:t>RE:</w:t>
      </w:r>
      <w:r w:rsidRPr="009A7065">
        <w:rPr>
          <w:b/>
        </w:rPr>
        <w:tab/>
      </w:r>
      <w:r w:rsidR="009056FC" w:rsidRPr="009056FC">
        <w:rPr>
          <w:bCs/>
        </w:rPr>
        <w:t xml:space="preserve">Docket No. 52689 - </w:t>
      </w:r>
      <w:r w:rsidR="009056FC" w:rsidRPr="009056FC">
        <w:rPr>
          <w:bCs/>
          <w:i/>
        </w:rPr>
        <w:t>Expedited Petition of CenterPoint Energy Houston Electric, LLC for Approval of Interim Load Management Programs for Nonresidential Customers and for an Accounting Order</w:t>
      </w:r>
      <w:r w:rsidR="002C5195">
        <w:rPr>
          <w:bCs/>
          <w:i/>
        </w:rPr>
        <w:t xml:space="preserve"> </w:t>
      </w:r>
      <w:r w:rsidR="002C5195">
        <w:rPr>
          <w:bCs/>
          <w:iCs/>
        </w:rPr>
        <w:t>(Jan. 12, 2022)</w:t>
      </w:r>
    </w:p>
    <w:p w14:paraId="1D16446F" w14:textId="77777777" w:rsidR="00281EE0" w:rsidRDefault="00F54886" w:rsidP="005C382D">
      <w:pPr>
        <w:tabs>
          <w:tab w:val="left" w:pos="1170"/>
        </w:tabs>
        <w:ind w:left="1170" w:right="-450" w:hanging="1170"/>
      </w:pPr>
      <w:r>
        <w:rPr>
          <w:noProof/>
        </w:rPr>
        <mc:AlternateContent>
          <mc:Choice Requires="wps">
            <w:drawing>
              <wp:anchor distT="0" distB="0" distL="114300" distR="114300" simplePos="0" relativeHeight="251657728" behindDoc="0" locked="0" layoutInCell="1" allowOverlap="1" wp14:anchorId="2A10C2A4" wp14:editId="6007D19D">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95A08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"/>
            </w:pict>
          </mc:Fallback>
        </mc:AlternateContent>
      </w:r>
      <w:r w:rsidR="00C90D29">
        <w:tab/>
      </w:r>
    </w:p>
    <w:p w14:paraId="7A4C096C" w14:textId="77777777" w:rsidR="00281EE0" w:rsidRPr="00281EE0" w:rsidRDefault="00281EE0" w:rsidP="00281EE0"/>
    <w:p w14:paraId="321D7CB9" w14:textId="7FB707F1" w:rsidR="002929FD" w:rsidRDefault="002929FD" w:rsidP="002929FD">
      <w:pPr>
        <w:jc w:val="both"/>
      </w:pPr>
      <w:r>
        <w:t>This memorandum summarizes Commission Staff’s finding</w:t>
      </w:r>
      <w:r w:rsidR="00505E20">
        <w:t>s</w:t>
      </w:r>
      <w:r>
        <w:t xml:space="preserve"> regarding the interim load management programs authorized in Docket No. 52689.</w:t>
      </w:r>
    </w:p>
    <w:p w14:paraId="3046825A" w14:textId="77777777" w:rsidR="002929FD" w:rsidRDefault="002929FD" w:rsidP="002929FD"/>
    <w:p w14:paraId="1C037291" w14:textId="77777777" w:rsidR="002929FD" w:rsidRPr="002929FD" w:rsidRDefault="002929FD" w:rsidP="002929FD">
      <w:pPr>
        <w:pStyle w:val="Heading1"/>
      </w:pPr>
      <w:r w:rsidRPr="002929FD">
        <w:t>Background</w:t>
      </w:r>
    </w:p>
    <w:p w14:paraId="4B4EDD2C" w14:textId="08CE3652" w:rsidR="002929FD" w:rsidRDefault="002929FD" w:rsidP="002929FD">
      <w:pPr>
        <w:jc w:val="both"/>
      </w:pPr>
      <w:r>
        <w:t xml:space="preserve">On </w:t>
      </w:r>
      <w:r w:rsidR="00383362">
        <w:t>October 8, 2021</w:t>
      </w:r>
      <w:r>
        <w:t>, AEP Texas Inc. (AEP), CenterPoint Energy Houston, LLC (CenterPoint) and Texas-New Mexico Power Company (</w:t>
      </w:r>
      <w:proofErr w:type="spellStart"/>
      <w:r>
        <w:t>TNMP</w:t>
      </w:r>
      <w:proofErr w:type="spellEnd"/>
      <w:r>
        <w:t>) filed an expedited petition (Petition) to approve their respective interim load management programs for the period from December 1, 2021 through February 28, 2022</w:t>
      </w:r>
      <w:r w:rsidR="002E69F0">
        <w:t xml:space="preserve"> (Program Period)</w:t>
      </w:r>
      <w:r>
        <w:t>. On October 15, 2021, Oncor Electric Delivery Company LLC (Oncor) filed comments concerning the Petition</w:t>
      </w:r>
      <w:r w:rsidR="00383362">
        <w:t>, but did not seek to intervene in this proceeding.</w:t>
      </w:r>
    </w:p>
    <w:p w14:paraId="39073A17" w14:textId="77777777" w:rsidR="002929FD" w:rsidRDefault="002929FD" w:rsidP="002929FD">
      <w:pPr>
        <w:jc w:val="both"/>
      </w:pPr>
    </w:p>
    <w:p w14:paraId="604EF8C6" w14:textId="77777777" w:rsidR="001F5EA8" w:rsidRDefault="002929FD" w:rsidP="002929FD">
      <w:pPr>
        <w:jc w:val="both"/>
      </w:pPr>
      <w:r>
        <w:t xml:space="preserve">On November 9, 2021, AEP, CenterPoint and </w:t>
      </w:r>
      <w:proofErr w:type="spellStart"/>
      <w:r>
        <w:t>TNMP</w:t>
      </w:r>
      <w:proofErr w:type="spellEnd"/>
      <w:r>
        <w:t xml:space="preserve"> filed a settlement agreement.</w:t>
      </w:r>
      <w:r>
        <w:rPr>
          <w:rStyle w:val="FootnoteReference"/>
        </w:rPr>
        <w:footnoteReference w:id="1"/>
      </w:r>
      <w:r>
        <w:t xml:space="preserve"> On December 1, 2021, AEP, CenterPoint, and </w:t>
      </w:r>
      <w:proofErr w:type="spellStart"/>
      <w:r>
        <w:t>TNMP</w:t>
      </w:r>
      <w:proofErr w:type="spellEnd"/>
      <w:r>
        <w:t xml:space="preserve"> filed a revised settlement agreement.</w:t>
      </w:r>
    </w:p>
    <w:p w14:paraId="406452D8" w14:textId="77777777" w:rsidR="001F5EA8" w:rsidRDefault="001F5EA8" w:rsidP="002929FD">
      <w:pPr>
        <w:jc w:val="both"/>
      </w:pPr>
    </w:p>
    <w:p w14:paraId="3C69CFB0" w14:textId="53378CE1" w:rsidR="002929FD" w:rsidRDefault="002929FD" w:rsidP="002929FD">
      <w:pPr>
        <w:jc w:val="both"/>
      </w:pPr>
      <w:r>
        <w:t xml:space="preserve">On January 12, 2022, the Commission </w:t>
      </w:r>
      <w:r w:rsidR="00034565">
        <w:t>issued</w:t>
      </w:r>
      <w:r>
        <w:t xml:space="preserve"> a final order approving th</w:t>
      </w:r>
      <w:r w:rsidR="002C5195">
        <w:t>e Petitioner</w:t>
      </w:r>
      <w:r w:rsidR="00EB33F6">
        <w:t>s’</w:t>
      </w:r>
      <w:r>
        <w:t xml:space="preserve"> </w:t>
      </w:r>
      <w:r w:rsidR="00EB33F6">
        <w:t xml:space="preserve">respective </w:t>
      </w:r>
      <w:r>
        <w:t xml:space="preserve">interim load management programs and further directed AEP, CenterPoint, </w:t>
      </w:r>
      <w:proofErr w:type="spellStart"/>
      <w:r>
        <w:t>TNMP</w:t>
      </w:r>
      <w:proofErr w:type="spellEnd"/>
      <w:r>
        <w:t>, and Oncor</w:t>
      </w:r>
      <w:r w:rsidR="001F5EA8">
        <w:rPr>
          <w:rStyle w:val="FootnoteReference"/>
        </w:rPr>
        <w:footnoteReference w:id="2"/>
      </w:r>
      <w:r>
        <w:t xml:space="preserve"> (Participating Utilities) to confer and coordinate with Commission Staff concerning </w:t>
      </w:r>
      <w:r w:rsidR="00D1665B">
        <w:t>their interim</w:t>
      </w:r>
      <w:r>
        <w:t xml:space="preserve"> load management programs. Attached to this </w:t>
      </w:r>
      <w:r w:rsidR="00D1665B">
        <w:t>memorandum</w:t>
      </w:r>
      <w:r>
        <w:t xml:space="preserve"> are submissions from each of the Participating Utilities concerning their respective </w:t>
      </w:r>
      <w:r w:rsidR="00D1665B">
        <w:t xml:space="preserve">interim </w:t>
      </w:r>
      <w:r>
        <w:t>load management programs.</w:t>
      </w:r>
    </w:p>
    <w:p w14:paraId="7100BD04" w14:textId="77777777" w:rsidR="002929FD" w:rsidRDefault="002929FD" w:rsidP="002929FD"/>
    <w:p w14:paraId="425158EC" w14:textId="43BCC13E" w:rsidR="002929FD" w:rsidRPr="0052130F" w:rsidRDefault="002929FD" w:rsidP="002929FD">
      <w:pPr>
        <w:pStyle w:val="Heading1"/>
      </w:pPr>
      <w:r w:rsidRPr="0052130F">
        <w:lastRenderedPageBreak/>
        <w:t>Summary</w:t>
      </w:r>
    </w:p>
    <w:p w14:paraId="273FCCB2" w14:textId="2F63164F" w:rsidR="00D65280" w:rsidRDefault="002929FD" w:rsidP="002929FD">
      <w:pPr>
        <w:jc w:val="both"/>
      </w:pPr>
      <w:r>
        <w:t>The chart below</w:t>
      </w:r>
      <w:r w:rsidR="00974E69">
        <w:t xml:space="preserve"> provides a high-level summary of</w:t>
      </w:r>
      <w:r w:rsidR="000468D5">
        <w:t xml:space="preserve"> </w:t>
      </w:r>
      <w:r w:rsidR="008A5CCA">
        <w:t xml:space="preserve">some of the features of </w:t>
      </w:r>
      <w:r w:rsidR="00D65280">
        <w:t xml:space="preserve">each Participating </w:t>
      </w:r>
      <w:r w:rsidR="00974E69">
        <w:t>Utilities’</w:t>
      </w:r>
      <w:r w:rsidR="00D65280">
        <w:t xml:space="preserve"> </w:t>
      </w:r>
      <w:r w:rsidR="008A5CCA">
        <w:t>interim load management plan</w:t>
      </w:r>
      <w:r w:rsidR="00465D0F">
        <w:t>.</w:t>
      </w:r>
    </w:p>
    <w:p w14:paraId="73B17070" w14:textId="77777777" w:rsidR="00D65280" w:rsidRDefault="00D65280" w:rsidP="002929FD">
      <w:pPr>
        <w:jc w:val="both"/>
      </w:pPr>
    </w:p>
    <w:tbl>
      <w:tblPr>
        <w:tblStyle w:val="TableGrid"/>
        <w:tblW w:w="0" w:type="auto"/>
        <w:jc w:val="center"/>
        <w:tblLook w:val="04A0" w:firstRow="1" w:lastRow="0" w:firstColumn="1" w:lastColumn="0" w:noHBand="0" w:noVBand="1"/>
      </w:tblPr>
      <w:tblGrid>
        <w:gridCol w:w="1765"/>
        <w:gridCol w:w="1443"/>
        <w:gridCol w:w="1257"/>
        <w:gridCol w:w="1697"/>
      </w:tblGrid>
      <w:tr w:rsidR="00974E69" w:rsidRPr="00833F57" w14:paraId="5BE1F0EB" w14:textId="77777777" w:rsidTr="00974E69">
        <w:trPr>
          <w:jc w:val="center"/>
        </w:trPr>
        <w:tc>
          <w:tcPr>
            <w:tcW w:w="1765" w:type="dxa"/>
          </w:tcPr>
          <w:p w14:paraId="6A793C6B" w14:textId="77777777" w:rsidR="00974E69" w:rsidRPr="00833F57" w:rsidRDefault="00974E69" w:rsidP="00974E69">
            <w:pPr>
              <w:keepNext/>
              <w:spacing w:before="120" w:after="120"/>
              <w:jc w:val="center"/>
              <w:rPr>
                <w:rFonts w:ascii="Times New Roman" w:hAnsi="Times New Roman" w:cs="Times New Roman"/>
                <w:b/>
                <w:bCs/>
              </w:rPr>
            </w:pPr>
            <w:r w:rsidRPr="00833F57">
              <w:rPr>
                <w:rFonts w:ascii="Times New Roman" w:hAnsi="Times New Roman" w:cs="Times New Roman"/>
                <w:b/>
                <w:bCs/>
              </w:rPr>
              <w:t>Party</w:t>
            </w:r>
          </w:p>
        </w:tc>
        <w:tc>
          <w:tcPr>
            <w:tcW w:w="1443" w:type="dxa"/>
          </w:tcPr>
          <w:p w14:paraId="480FCDCD" w14:textId="77777777" w:rsidR="00974E69" w:rsidRPr="00833F57" w:rsidRDefault="00974E69" w:rsidP="00974E69">
            <w:pPr>
              <w:keepNext/>
              <w:spacing w:before="120" w:after="120"/>
              <w:jc w:val="center"/>
              <w:rPr>
                <w:rFonts w:ascii="Times New Roman" w:hAnsi="Times New Roman" w:cs="Times New Roman"/>
                <w:b/>
                <w:bCs/>
              </w:rPr>
            </w:pPr>
            <w:r w:rsidRPr="00833F57">
              <w:rPr>
                <w:rFonts w:ascii="Times New Roman" w:hAnsi="Times New Roman" w:cs="Times New Roman"/>
                <w:b/>
                <w:bCs/>
              </w:rPr>
              <w:t>Budget</w:t>
            </w:r>
          </w:p>
        </w:tc>
        <w:tc>
          <w:tcPr>
            <w:tcW w:w="1257" w:type="dxa"/>
          </w:tcPr>
          <w:p w14:paraId="21570A1D" w14:textId="77777777" w:rsidR="00974E69" w:rsidRPr="00833F57" w:rsidRDefault="00974E69" w:rsidP="00974E69">
            <w:pPr>
              <w:keepNext/>
              <w:spacing w:before="120" w:after="120"/>
              <w:jc w:val="center"/>
              <w:rPr>
                <w:rFonts w:ascii="Times New Roman" w:hAnsi="Times New Roman" w:cs="Times New Roman"/>
                <w:b/>
                <w:bCs/>
              </w:rPr>
            </w:pPr>
            <w:r w:rsidRPr="00833F57">
              <w:rPr>
                <w:rFonts w:ascii="Times New Roman" w:hAnsi="Times New Roman" w:cs="Times New Roman"/>
                <w:b/>
                <w:bCs/>
              </w:rPr>
              <w:t>Incentive</w:t>
            </w:r>
            <w:r w:rsidRPr="00833F57">
              <w:rPr>
                <w:rFonts w:ascii="Times New Roman" w:hAnsi="Times New Roman" w:cs="Times New Roman"/>
                <w:b/>
                <w:bCs/>
              </w:rPr>
              <w:br/>
              <w:t>($ / kW)</w:t>
            </w:r>
          </w:p>
        </w:tc>
        <w:tc>
          <w:tcPr>
            <w:tcW w:w="1697" w:type="dxa"/>
          </w:tcPr>
          <w:p w14:paraId="232BCFCE" w14:textId="77777777" w:rsidR="00974E69" w:rsidRPr="00833F57" w:rsidRDefault="00974E69" w:rsidP="00974E69">
            <w:pPr>
              <w:keepNext/>
              <w:spacing w:before="120" w:after="120"/>
              <w:jc w:val="center"/>
              <w:rPr>
                <w:rFonts w:ascii="Times New Roman" w:hAnsi="Times New Roman" w:cs="Times New Roman"/>
                <w:b/>
                <w:bCs/>
              </w:rPr>
            </w:pPr>
            <w:r w:rsidRPr="00833F57">
              <w:rPr>
                <w:rFonts w:ascii="Times New Roman" w:hAnsi="Times New Roman" w:cs="Times New Roman"/>
                <w:b/>
                <w:bCs/>
              </w:rPr>
              <w:t>Procurement Goal</w:t>
            </w:r>
          </w:p>
        </w:tc>
      </w:tr>
      <w:tr w:rsidR="00974E69" w:rsidRPr="00833F57" w14:paraId="2F099322" w14:textId="77777777" w:rsidTr="00974E69">
        <w:trPr>
          <w:jc w:val="center"/>
        </w:trPr>
        <w:tc>
          <w:tcPr>
            <w:tcW w:w="1765" w:type="dxa"/>
          </w:tcPr>
          <w:p w14:paraId="05E4451C" w14:textId="77777777" w:rsidR="00974E69" w:rsidRPr="00833F57" w:rsidRDefault="00974E69" w:rsidP="00974E69">
            <w:pPr>
              <w:keepNext/>
              <w:spacing w:after="240"/>
              <w:rPr>
                <w:rFonts w:ascii="Times New Roman" w:hAnsi="Times New Roman" w:cs="Times New Roman"/>
              </w:rPr>
            </w:pPr>
            <w:r w:rsidRPr="00833F57">
              <w:rPr>
                <w:rFonts w:ascii="Times New Roman" w:hAnsi="Times New Roman" w:cs="Times New Roman"/>
              </w:rPr>
              <w:t>AEP</w:t>
            </w:r>
          </w:p>
        </w:tc>
        <w:tc>
          <w:tcPr>
            <w:tcW w:w="1443" w:type="dxa"/>
          </w:tcPr>
          <w:p w14:paraId="213BFF91" w14:textId="77777777" w:rsidR="00974E69" w:rsidRPr="00833F57" w:rsidRDefault="00974E69" w:rsidP="00974E69">
            <w:pPr>
              <w:keepNext/>
              <w:spacing w:after="240"/>
              <w:jc w:val="right"/>
              <w:rPr>
                <w:rFonts w:ascii="Times New Roman" w:hAnsi="Times New Roman" w:cs="Times New Roman"/>
              </w:rPr>
            </w:pPr>
            <w:r w:rsidRPr="00833F57">
              <w:rPr>
                <w:rFonts w:ascii="Times New Roman" w:hAnsi="Times New Roman" w:cs="Times New Roman"/>
              </w:rPr>
              <w:t>$350,000</w:t>
            </w:r>
          </w:p>
        </w:tc>
        <w:tc>
          <w:tcPr>
            <w:tcW w:w="1257" w:type="dxa"/>
          </w:tcPr>
          <w:p w14:paraId="15C82097" w14:textId="77777777" w:rsidR="00974E69" w:rsidRPr="00833F57" w:rsidRDefault="00974E69" w:rsidP="00974E69">
            <w:pPr>
              <w:keepNext/>
              <w:spacing w:after="240"/>
              <w:jc w:val="center"/>
              <w:rPr>
                <w:rFonts w:ascii="Times New Roman" w:hAnsi="Times New Roman" w:cs="Times New Roman"/>
              </w:rPr>
            </w:pPr>
            <w:r w:rsidRPr="00833F57">
              <w:rPr>
                <w:rFonts w:ascii="Times New Roman" w:hAnsi="Times New Roman" w:cs="Times New Roman"/>
              </w:rPr>
              <w:t>$35</w:t>
            </w:r>
          </w:p>
        </w:tc>
        <w:tc>
          <w:tcPr>
            <w:tcW w:w="1697" w:type="dxa"/>
          </w:tcPr>
          <w:p w14:paraId="3996FC33" w14:textId="77777777" w:rsidR="00974E69" w:rsidRPr="00833F57" w:rsidRDefault="00974E69" w:rsidP="00974E69">
            <w:pPr>
              <w:keepNext/>
              <w:spacing w:after="240"/>
              <w:jc w:val="center"/>
              <w:rPr>
                <w:rFonts w:ascii="Times New Roman" w:hAnsi="Times New Roman" w:cs="Times New Roman"/>
              </w:rPr>
            </w:pPr>
            <w:r w:rsidRPr="00833F57">
              <w:rPr>
                <w:rFonts w:ascii="Times New Roman" w:hAnsi="Times New Roman" w:cs="Times New Roman"/>
              </w:rPr>
              <w:t>10 MW</w:t>
            </w:r>
          </w:p>
        </w:tc>
      </w:tr>
      <w:tr w:rsidR="00974E69" w:rsidRPr="00833F57" w14:paraId="4F95EC77" w14:textId="77777777" w:rsidTr="00974E69">
        <w:trPr>
          <w:jc w:val="center"/>
        </w:trPr>
        <w:tc>
          <w:tcPr>
            <w:tcW w:w="1765" w:type="dxa"/>
          </w:tcPr>
          <w:p w14:paraId="1D5E4EB4" w14:textId="77777777" w:rsidR="00974E69" w:rsidRPr="00833F57" w:rsidRDefault="00974E69" w:rsidP="00974E69">
            <w:pPr>
              <w:keepNext/>
              <w:spacing w:after="240"/>
              <w:rPr>
                <w:rFonts w:ascii="Times New Roman" w:hAnsi="Times New Roman" w:cs="Times New Roman"/>
              </w:rPr>
            </w:pPr>
            <w:r w:rsidRPr="00833F57">
              <w:rPr>
                <w:rFonts w:ascii="Times New Roman" w:hAnsi="Times New Roman" w:cs="Times New Roman"/>
              </w:rPr>
              <w:t>CenterPoint</w:t>
            </w:r>
          </w:p>
        </w:tc>
        <w:tc>
          <w:tcPr>
            <w:tcW w:w="1443" w:type="dxa"/>
          </w:tcPr>
          <w:p w14:paraId="45FE1094" w14:textId="77777777" w:rsidR="00974E69" w:rsidRPr="00833F57" w:rsidRDefault="00974E69" w:rsidP="00974E69">
            <w:pPr>
              <w:keepNext/>
              <w:spacing w:after="240"/>
              <w:jc w:val="right"/>
              <w:rPr>
                <w:rFonts w:ascii="Times New Roman" w:hAnsi="Times New Roman" w:cs="Times New Roman"/>
              </w:rPr>
            </w:pPr>
            <w:r w:rsidRPr="00833F57">
              <w:rPr>
                <w:rFonts w:ascii="Times New Roman" w:hAnsi="Times New Roman" w:cs="Times New Roman"/>
              </w:rPr>
              <w:t>$4,500,000</w:t>
            </w:r>
          </w:p>
        </w:tc>
        <w:tc>
          <w:tcPr>
            <w:tcW w:w="1257" w:type="dxa"/>
          </w:tcPr>
          <w:p w14:paraId="3ECED8A7" w14:textId="77777777" w:rsidR="00974E69" w:rsidRPr="00833F57" w:rsidRDefault="00974E69" w:rsidP="00974E69">
            <w:pPr>
              <w:keepNext/>
              <w:spacing w:after="240"/>
              <w:jc w:val="center"/>
              <w:rPr>
                <w:rFonts w:ascii="Times New Roman" w:hAnsi="Times New Roman" w:cs="Times New Roman"/>
              </w:rPr>
            </w:pPr>
            <w:r w:rsidRPr="00833F57">
              <w:rPr>
                <w:rFonts w:ascii="Times New Roman" w:hAnsi="Times New Roman" w:cs="Times New Roman"/>
              </w:rPr>
              <w:t>$30</w:t>
            </w:r>
          </w:p>
        </w:tc>
        <w:tc>
          <w:tcPr>
            <w:tcW w:w="1697" w:type="dxa"/>
          </w:tcPr>
          <w:p w14:paraId="205A652C" w14:textId="77777777" w:rsidR="00974E69" w:rsidRPr="00833F57" w:rsidRDefault="00974E69" w:rsidP="00974E69">
            <w:pPr>
              <w:keepNext/>
              <w:spacing w:after="240"/>
              <w:jc w:val="center"/>
              <w:rPr>
                <w:rFonts w:ascii="Times New Roman" w:hAnsi="Times New Roman" w:cs="Times New Roman"/>
              </w:rPr>
            </w:pPr>
            <w:r w:rsidRPr="00833F57">
              <w:rPr>
                <w:rFonts w:ascii="Times New Roman" w:hAnsi="Times New Roman" w:cs="Times New Roman"/>
              </w:rPr>
              <w:t>100 MW</w:t>
            </w:r>
            <w:r w:rsidRPr="00833F57">
              <w:rPr>
                <w:rStyle w:val="FootnoteReference"/>
                <w:rFonts w:ascii="Times New Roman" w:hAnsi="Times New Roman" w:cs="Times New Roman"/>
              </w:rPr>
              <w:footnoteReference w:id="3"/>
            </w:r>
          </w:p>
        </w:tc>
      </w:tr>
      <w:tr w:rsidR="00974E69" w:rsidRPr="00833F57" w14:paraId="1A0FD205" w14:textId="77777777" w:rsidTr="00974E69">
        <w:trPr>
          <w:jc w:val="center"/>
        </w:trPr>
        <w:tc>
          <w:tcPr>
            <w:tcW w:w="1765" w:type="dxa"/>
          </w:tcPr>
          <w:p w14:paraId="459D7868" w14:textId="77777777" w:rsidR="00974E69" w:rsidRPr="00833F57" w:rsidRDefault="00974E69" w:rsidP="00974E69">
            <w:pPr>
              <w:keepNext/>
              <w:spacing w:after="240"/>
              <w:rPr>
                <w:rFonts w:ascii="Times New Roman" w:hAnsi="Times New Roman" w:cs="Times New Roman"/>
              </w:rPr>
            </w:pPr>
            <w:r w:rsidRPr="00833F57">
              <w:rPr>
                <w:rFonts w:ascii="Times New Roman" w:hAnsi="Times New Roman" w:cs="Times New Roman"/>
              </w:rPr>
              <w:t>Oncor</w:t>
            </w:r>
          </w:p>
        </w:tc>
        <w:tc>
          <w:tcPr>
            <w:tcW w:w="1443" w:type="dxa"/>
          </w:tcPr>
          <w:p w14:paraId="45210C31" w14:textId="77777777" w:rsidR="00974E69" w:rsidRPr="00833F57" w:rsidRDefault="00974E69" w:rsidP="00974E69">
            <w:pPr>
              <w:keepNext/>
              <w:spacing w:after="240"/>
              <w:jc w:val="center"/>
              <w:rPr>
                <w:rFonts w:ascii="Times New Roman" w:hAnsi="Times New Roman" w:cs="Times New Roman"/>
              </w:rPr>
            </w:pPr>
            <w:r w:rsidRPr="00833F57">
              <w:rPr>
                <w:rFonts w:ascii="Times New Roman" w:hAnsi="Times New Roman" w:cs="Times New Roman"/>
              </w:rPr>
              <w:t>$2,000,000</w:t>
            </w:r>
          </w:p>
        </w:tc>
        <w:tc>
          <w:tcPr>
            <w:tcW w:w="1257" w:type="dxa"/>
          </w:tcPr>
          <w:p w14:paraId="1FDD888C" w14:textId="77777777" w:rsidR="00974E69" w:rsidRPr="00833F57" w:rsidRDefault="00974E69" w:rsidP="00974E69">
            <w:pPr>
              <w:keepNext/>
              <w:spacing w:after="240"/>
              <w:jc w:val="center"/>
              <w:rPr>
                <w:rFonts w:ascii="Times New Roman" w:hAnsi="Times New Roman" w:cs="Times New Roman"/>
              </w:rPr>
            </w:pPr>
            <w:r w:rsidRPr="00833F57">
              <w:rPr>
                <w:rFonts w:ascii="Times New Roman" w:hAnsi="Times New Roman" w:cs="Times New Roman"/>
              </w:rPr>
              <w:t>$40</w:t>
            </w:r>
          </w:p>
        </w:tc>
        <w:tc>
          <w:tcPr>
            <w:tcW w:w="1697" w:type="dxa"/>
          </w:tcPr>
          <w:p w14:paraId="10CC270C" w14:textId="77777777" w:rsidR="00974E69" w:rsidRPr="00833F57" w:rsidRDefault="00974E69" w:rsidP="00974E69">
            <w:pPr>
              <w:keepNext/>
              <w:spacing w:after="240"/>
              <w:jc w:val="center"/>
              <w:rPr>
                <w:rFonts w:ascii="Times New Roman" w:hAnsi="Times New Roman" w:cs="Times New Roman"/>
              </w:rPr>
            </w:pPr>
            <w:r w:rsidRPr="00833F57">
              <w:rPr>
                <w:rFonts w:ascii="Times New Roman" w:hAnsi="Times New Roman" w:cs="Times New Roman"/>
              </w:rPr>
              <w:t>50 MW</w:t>
            </w:r>
          </w:p>
        </w:tc>
      </w:tr>
      <w:tr w:rsidR="00974E69" w:rsidRPr="00833F57" w14:paraId="0E3E23EA" w14:textId="77777777" w:rsidTr="00974E69">
        <w:trPr>
          <w:jc w:val="center"/>
        </w:trPr>
        <w:tc>
          <w:tcPr>
            <w:tcW w:w="1765" w:type="dxa"/>
          </w:tcPr>
          <w:p w14:paraId="6BF8B87F" w14:textId="77777777" w:rsidR="00974E69" w:rsidRPr="00833F57" w:rsidRDefault="00974E69" w:rsidP="00974E69">
            <w:pPr>
              <w:spacing w:after="240"/>
              <w:rPr>
                <w:rFonts w:ascii="Times New Roman" w:hAnsi="Times New Roman" w:cs="Times New Roman"/>
              </w:rPr>
            </w:pPr>
            <w:proofErr w:type="spellStart"/>
            <w:r w:rsidRPr="00833F57">
              <w:rPr>
                <w:rFonts w:ascii="Times New Roman" w:hAnsi="Times New Roman" w:cs="Times New Roman"/>
              </w:rPr>
              <w:t>TNMP</w:t>
            </w:r>
            <w:proofErr w:type="spellEnd"/>
          </w:p>
        </w:tc>
        <w:tc>
          <w:tcPr>
            <w:tcW w:w="1443" w:type="dxa"/>
          </w:tcPr>
          <w:p w14:paraId="3FCAD733" w14:textId="77777777" w:rsidR="00974E69" w:rsidRPr="00833F57" w:rsidRDefault="00974E69" w:rsidP="00974E69">
            <w:pPr>
              <w:spacing w:after="240"/>
              <w:jc w:val="right"/>
              <w:rPr>
                <w:rFonts w:ascii="Times New Roman" w:hAnsi="Times New Roman" w:cs="Times New Roman"/>
              </w:rPr>
            </w:pPr>
            <w:r w:rsidRPr="00833F57">
              <w:rPr>
                <w:rFonts w:ascii="Times New Roman" w:hAnsi="Times New Roman" w:cs="Times New Roman"/>
              </w:rPr>
              <w:t>$60,000</w:t>
            </w:r>
          </w:p>
        </w:tc>
        <w:tc>
          <w:tcPr>
            <w:tcW w:w="1257" w:type="dxa"/>
          </w:tcPr>
          <w:p w14:paraId="63AE8B21" w14:textId="77777777" w:rsidR="00974E69" w:rsidRPr="00833F57" w:rsidRDefault="00974E69" w:rsidP="00974E69">
            <w:pPr>
              <w:spacing w:after="240"/>
              <w:jc w:val="center"/>
              <w:rPr>
                <w:rFonts w:ascii="Times New Roman" w:hAnsi="Times New Roman" w:cs="Times New Roman"/>
              </w:rPr>
            </w:pPr>
            <w:r w:rsidRPr="00833F57">
              <w:rPr>
                <w:rFonts w:ascii="Times New Roman" w:hAnsi="Times New Roman" w:cs="Times New Roman"/>
              </w:rPr>
              <w:t>$40</w:t>
            </w:r>
          </w:p>
        </w:tc>
        <w:tc>
          <w:tcPr>
            <w:tcW w:w="1697" w:type="dxa"/>
          </w:tcPr>
          <w:p w14:paraId="3A1C5565" w14:textId="77777777" w:rsidR="00974E69" w:rsidRPr="00833F57" w:rsidRDefault="00974E69" w:rsidP="00974E69">
            <w:pPr>
              <w:spacing w:after="240"/>
              <w:jc w:val="center"/>
              <w:rPr>
                <w:rFonts w:ascii="Times New Roman" w:hAnsi="Times New Roman" w:cs="Times New Roman"/>
              </w:rPr>
            </w:pPr>
            <w:r w:rsidRPr="00833F57">
              <w:rPr>
                <w:rFonts w:ascii="Times New Roman" w:hAnsi="Times New Roman" w:cs="Times New Roman"/>
              </w:rPr>
              <w:t>1.5 MW</w:t>
            </w:r>
          </w:p>
        </w:tc>
      </w:tr>
    </w:tbl>
    <w:p w14:paraId="47D9A754" w14:textId="77777777" w:rsidR="00D65280" w:rsidRDefault="00D65280" w:rsidP="002929FD">
      <w:pPr>
        <w:jc w:val="both"/>
      </w:pPr>
    </w:p>
    <w:p w14:paraId="75CFD9C5" w14:textId="77777777" w:rsidR="00B612EA" w:rsidRDefault="00D65280" w:rsidP="00CD6BE5">
      <w:pPr>
        <w:jc w:val="both"/>
      </w:pPr>
      <w:r>
        <w:t xml:space="preserve">The following chart </w:t>
      </w:r>
      <w:r w:rsidR="00CD6BE5" w:rsidRPr="00CD6BE5">
        <w:t>compares the projected budget and procurement of load management resources with the actual cost and procurement of resources.</w:t>
      </w:r>
    </w:p>
    <w:p w14:paraId="69A74318" w14:textId="27530962" w:rsidR="002929FD" w:rsidRDefault="002929FD" w:rsidP="00CD6BE5">
      <w:pPr>
        <w:jc w:val="both"/>
      </w:pPr>
    </w:p>
    <w:tbl>
      <w:tblPr>
        <w:tblStyle w:val="TableGrid"/>
        <w:tblW w:w="9085" w:type="dxa"/>
        <w:jc w:val="center"/>
        <w:tblLook w:val="04A0" w:firstRow="1" w:lastRow="0" w:firstColumn="1" w:lastColumn="0" w:noHBand="0" w:noVBand="1"/>
      </w:tblPr>
      <w:tblGrid>
        <w:gridCol w:w="1363"/>
        <w:gridCol w:w="1296"/>
        <w:gridCol w:w="1296"/>
        <w:gridCol w:w="1563"/>
        <w:gridCol w:w="1563"/>
        <w:gridCol w:w="2004"/>
      </w:tblGrid>
      <w:tr w:rsidR="00353A18" w:rsidRPr="00FC11BD" w14:paraId="090D353B" w14:textId="739AC2D9" w:rsidTr="00353A18">
        <w:trPr>
          <w:jc w:val="center"/>
        </w:trPr>
        <w:tc>
          <w:tcPr>
            <w:tcW w:w="1363" w:type="dxa"/>
            <w:vAlign w:val="center"/>
          </w:tcPr>
          <w:p w14:paraId="50C5CDC1" w14:textId="77777777" w:rsidR="00353A18" w:rsidRPr="00FC11BD" w:rsidRDefault="00353A18" w:rsidP="002929FD">
            <w:pPr>
              <w:spacing w:before="120" w:after="120"/>
              <w:jc w:val="center"/>
              <w:rPr>
                <w:rFonts w:ascii="Times New Roman" w:hAnsi="Times New Roman" w:cs="Times New Roman"/>
                <w:b/>
                <w:bCs/>
              </w:rPr>
            </w:pPr>
            <w:r w:rsidRPr="00FC11BD">
              <w:rPr>
                <w:rFonts w:ascii="Times New Roman" w:hAnsi="Times New Roman" w:cs="Times New Roman"/>
                <w:b/>
                <w:bCs/>
              </w:rPr>
              <w:t>Party</w:t>
            </w:r>
          </w:p>
        </w:tc>
        <w:tc>
          <w:tcPr>
            <w:tcW w:w="1296" w:type="dxa"/>
            <w:vAlign w:val="center"/>
          </w:tcPr>
          <w:p w14:paraId="4F733D61" w14:textId="77777777" w:rsidR="00353A18" w:rsidRPr="00FC11BD" w:rsidRDefault="00353A18" w:rsidP="002929FD">
            <w:pPr>
              <w:spacing w:before="120" w:after="120"/>
              <w:jc w:val="center"/>
              <w:rPr>
                <w:rFonts w:ascii="Times New Roman" w:hAnsi="Times New Roman" w:cs="Times New Roman"/>
                <w:b/>
                <w:bCs/>
              </w:rPr>
            </w:pPr>
            <w:r w:rsidRPr="00FC11BD">
              <w:rPr>
                <w:rFonts w:ascii="Times New Roman" w:hAnsi="Times New Roman" w:cs="Times New Roman"/>
                <w:b/>
                <w:bCs/>
              </w:rPr>
              <w:t>Budget</w:t>
            </w:r>
          </w:p>
        </w:tc>
        <w:tc>
          <w:tcPr>
            <w:tcW w:w="1296" w:type="dxa"/>
            <w:vAlign w:val="center"/>
          </w:tcPr>
          <w:p w14:paraId="13068B08" w14:textId="5432BDDB" w:rsidR="00353A18" w:rsidRPr="00FC11BD" w:rsidRDefault="00353A18" w:rsidP="002929FD">
            <w:pPr>
              <w:spacing w:before="120" w:after="120"/>
              <w:jc w:val="center"/>
              <w:rPr>
                <w:rFonts w:ascii="Times New Roman" w:hAnsi="Times New Roman" w:cs="Times New Roman"/>
                <w:b/>
                <w:bCs/>
              </w:rPr>
            </w:pPr>
            <w:r w:rsidRPr="00FC11BD">
              <w:rPr>
                <w:rFonts w:ascii="Times New Roman" w:hAnsi="Times New Roman" w:cs="Times New Roman"/>
                <w:b/>
                <w:bCs/>
              </w:rPr>
              <w:t>Actual</w:t>
            </w:r>
          </w:p>
        </w:tc>
        <w:tc>
          <w:tcPr>
            <w:tcW w:w="1563" w:type="dxa"/>
            <w:vAlign w:val="center"/>
          </w:tcPr>
          <w:p w14:paraId="7D106EBF" w14:textId="77777777" w:rsidR="00353A18" w:rsidRPr="00FC11BD" w:rsidRDefault="00353A18" w:rsidP="002929FD">
            <w:pPr>
              <w:spacing w:before="120" w:after="120"/>
              <w:jc w:val="center"/>
              <w:rPr>
                <w:rFonts w:ascii="Times New Roman" w:hAnsi="Times New Roman" w:cs="Times New Roman"/>
                <w:b/>
                <w:bCs/>
              </w:rPr>
            </w:pPr>
            <w:r w:rsidRPr="00FC11BD">
              <w:rPr>
                <w:rFonts w:ascii="Times New Roman" w:hAnsi="Times New Roman" w:cs="Times New Roman"/>
                <w:b/>
                <w:bCs/>
              </w:rPr>
              <w:t>Procurement</w:t>
            </w:r>
            <w:r w:rsidRPr="00FC11BD">
              <w:rPr>
                <w:rFonts w:ascii="Times New Roman" w:hAnsi="Times New Roman" w:cs="Times New Roman"/>
                <w:b/>
                <w:bCs/>
              </w:rPr>
              <w:br/>
              <w:t>(Goal)</w:t>
            </w:r>
          </w:p>
        </w:tc>
        <w:tc>
          <w:tcPr>
            <w:tcW w:w="1563" w:type="dxa"/>
            <w:vAlign w:val="center"/>
          </w:tcPr>
          <w:p w14:paraId="7A75821B" w14:textId="77777777" w:rsidR="00353A18" w:rsidRPr="00FC11BD" w:rsidRDefault="00353A18" w:rsidP="002929FD">
            <w:pPr>
              <w:spacing w:before="120" w:after="120"/>
              <w:jc w:val="center"/>
              <w:rPr>
                <w:rFonts w:ascii="Times New Roman" w:hAnsi="Times New Roman" w:cs="Times New Roman"/>
                <w:b/>
                <w:bCs/>
              </w:rPr>
            </w:pPr>
            <w:r w:rsidRPr="00FC11BD">
              <w:rPr>
                <w:rFonts w:ascii="Times New Roman" w:hAnsi="Times New Roman" w:cs="Times New Roman"/>
                <w:b/>
                <w:bCs/>
              </w:rPr>
              <w:t>Procurement</w:t>
            </w:r>
            <w:r w:rsidRPr="00FC11BD">
              <w:rPr>
                <w:rFonts w:ascii="Times New Roman" w:hAnsi="Times New Roman" w:cs="Times New Roman"/>
                <w:b/>
                <w:bCs/>
              </w:rPr>
              <w:br/>
              <w:t>(Actual)</w:t>
            </w:r>
          </w:p>
        </w:tc>
        <w:tc>
          <w:tcPr>
            <w:tcW w:w="2004" w:type="dxa"/>
          </w:tcPr>
          <w:p w14:paraId="133204E2" w14:textId="13DFA35F" w:rsidR="00353A18" w:rsidRPr="00353A18" w:rsidRDefault="00353A18" w:rsidP="002929FD">
            <w:pPr>
              <w:spacing w:before="120" w:after="120"/>
              <w:jc w:val="center"/>
              <w:rPr>
                <w:rFonts w:ascii="Times New Roman" w:hAnsi="Times New Roman" w:cs="Times New Roman"/>
                <w:b/>
                <w:bCs/>
              </w:rPr>
            </w:pPr>
            <w:r w:rsidRPr="00353A18">
              <w:rPr>
                <w:rFonts w:ascii="Times New Roman" w:hAnsi="Times New Roman" w:cs="Times New Roman"/>
                <w:b/>
                <w:bCs/>
              </w:rPr>
              <w:t>Start Date</w:t>
            </w:r>
            <w:r w:rsidR="00974E69" w:rsidRPr="00833F57">
              <w:rPr>
                <w:rStyle w:val="FootnoteReference"/>
                <w:rFonts w:ascii="Times New Roman" w:hAnsi="Times New Roman" w:cs="Times New Roman"/>
                <w:b/>
                <w:bCs/>
              </w:rPr>
              <w:footnoteReference w:id="4"/>
            </w:r>
          </w:p>
        </w:tc>
      </w:tr>
      <w:tr w:rsidR="00353A18" w:rsidRPr="00FC11BD" w14:paraId="30CE6ED9" w14:textId="5558187C" w:rsidTr="00353A18">
        <w:trPr>
          <w:jc w:val="center"/>
        </w:trPr>
        <w:tc>
          <w:tcPr>
            <w:tcW w:w="1363" w:type="dxa"/>
          </w:tcPr>
          <w:p w14:paraId="5ABFCFCE" w14:textId="77777777" w:rsidR="00353A18" w:rsidRPr="00FC11BD" w:rsidRDefault="00353A18" w:rsidP="00353A18">
            <w:pPr>
              <w:spacing w:after="240"/>
              <w:rPr>
                <w:rFonts w:ascii="Times New Roman" w:hAnsi="Times New Roman" w:cs="Times New Roman"/>
              </w:rPr>
            </w:pPr>
            <w:r w:rsidRPr="00FC11BD">
              <w:rPr>
                <w:rFonts w:ascii="Times New Roman" w:hAnsi="Times New Roman" w:cs="Times New Roman"/>
              </w:rPr>
              <w:t>AEP</w:t>
            </w:r>
          </w:p>
        </w:tc>
        <w:tc>
          <w:tcPr>
            <w:tcW w:w="1296" w:type="dxa"/>
          </w:tcPr>
          <w:p w14:paraId="0B93F498" w14:textId="77777777" w:rsidR="00353A18" w:rsidRPr="00FC11BD" w:rsidRDefault="00353A18" w:rsidP="00353A18">
            <w:pPr>
              <w:spacing w:after="240"/>
              <w:jc w:val="right"/>
              <w:rPr>
                <w:rFonts w:ascii="Times New Roman" w:hAnsi="Times New Roman" w:cs="Times New Roman"/>
              </w:rPr>
            </w:pPr>
            <w:r w:rsidRPr="00FC11BD">
              <w:rPr>
                <w:rFonts w:ascii="Times New Roman" w:hAnsi="Times New Roman" w:cs="Times New Roman"/>
              </w:rPr>
              <w:t>$350,000</w:t>
            </w:r>
          </w:p>
        </w:tc>
        <w:tc>
          <w:tcPr>
            <w:tcW w:w="1296" w:type="dxa"/>
          </w:tcPr>
          <w:p w14:paraId="461B2E21" w14:textId="77777777" w:rsidR="00353A18" w:rsidRPr="00FC11BD" w:rsidRDefault="00353A18" w:rsidP="00353A18">
            <w:pPr>
              <w:spacing w:after="240"/>
              <w:jc w:val="right"/>
              <w:rPr>
                <w:rFonts w:ascii="Times New Roman" w:hAnsi="Times New Roman" w:cs="Times New Roman"/>
              </w:rPr>
            </w:pPr>
            <w:r w:rsidRPr="00FC11BD">
              <w:rPr>
                <w:rFonts w:ascii="Times New Roman" w:hAnsi="Times New Roman" w:cs="Times New Roman"/>
              </w:rPr>
              <w:t>$97,905</w:t>
            </w:r>
          </w:p>
        </w:tc>
        <w:tc>
          <w:tcPr>
            <w:tcW w:w="1563" w:type="dxa"/>
          </w:tcPr>
          <w:p w14:paraId="1BC589B3" w14:textId="77777777" w:rsidR="00353A18" w:rsidRPr="00FC11BD" w:rsidRDefault="00353A18" w:rsidP="00353A18">
            <w:pPr>
              <w:spacing w:after="240"/>
              <w:jc w:val="center"/>
              <w:rPr>
                <w:rFonts w:ascii="Times New Roman" w:hAnsi="Times New Roman" w:cs="Times New Roman"/>
              </w:rPr>
            </w:pPr>
            <w:r w:rsidRPr="00FC11BD">
              <w:rPr>
                <w:rFonts w:ascii="Times New Roman" w:hAnsi="Times New Roman" w:cs="Times New Roman"/>
              </w:rPr>
              <w:t>10 MW</w:t>
            </w:r>
          </w:p>
        </w:tc>
        <w:tc>
          <w:tcPr>
            <w:tcW w:w="1563" w:type="dxa"/>
          </w:tcPr>
          <w:p w14:paraId="0440461D" w14:textId="77777777" w:rsidR="00353A18" w:rsidRPr="00FC11BD" w:rsidRDefault="00353A18" w:rsidP="00353A18">
            <w:pPr>
              <w:spacing w:after="240"/>
              <w:jc w:val="center"/>
              <w:rPr>
                <w:rFonts w:ascii="Times New Roman" w:hAnsi="Times New Roman" w:cs="Times New Roman"/>
              </w:rPr>
            </w:pPr>
            <w:r w:rsidRPr="00FC11BD">
              <w:rPr>
                <w:rFonts w:ascii="Times New Roman" w:hAnsi="Times New Roman" w:cs="Times New Roman"/>
              </w:rPr>
              <w:t>2.797 MW</w:t>
            </w:r>
          </w:p>
        </w:tc>
        <w:tc>
          <w:tcPr>
            <w:tcW w:w="2004" w:type="dxa"/>
          </w:tcPr>
          <w:p w14:paraId="2FB01E7F" w14:textId="7BAFCF46" w:rsidR="00353A18" w:rsidRPr="00353A18" w:rsidRDefault="00353A18" w:rsidP="00353A18">
            <w:pPr>
              <w:spacing w:after="240"/>
              <w:jc w:val="center"/>
              <w:rPr>
                <w:rFonts w:ascii="Times New Roman" w:hAnsi="Times New Roman" w:cs="Times New Roman"/>
              </w:rPr>
            </w:pPr>
            <w:r w:rsidRPr="00833F57">
              <w:rPr>
                <w:rFonts w:ascii="Times New Roman" w:hAnsi="Times New Roman" w:cs="Times New Roman"/>
              </w:rPr>
              <w:t>Jan</w:t>
            </w:r>
            <w:r>
              <w:rPr>
                <w:rFonts w:ascii="Times New Roman" w:hAnsi="Times New Roman" w:cs="Times New Roman"/>
              </w:rPr>
              <w:t xml:space="preserve">. </w:t>
            </w:r>
            <w:r w:rsidRPr="00833F57">
              <w:rPr>
                <w:rFonts w:ascii="Times New Roman" w:hAnsi="Times New Roman" w:cs="Times New Roman"/>
              </w:rPr>
              <w:t>24, 2022</w:t>
            </w:r>
          </w:p>
        </w:tc>
      </w:tr>
      <w:tr w:rsidR="00353A18" w:rsidRPr="00FC11BD" w14:paraId="59C272B1" w14:textId="22B53F53" w:rsidTr="00353A18">
        <w:trPr>
          <w:jc w:val="center"/>
        </w:trPr>
        <w:tc>
          <w:tcPr>
            <w:tcW w:w="1363" w:type="dxa"/>
          </w:tcPr>
          <w:p w14:paraId="7A7F4A07" w14:textId="77777777" w:rsidR="00353A18" w:rsidRPr="00FC11BD" w:rsidRDefault="00353A18" w:rsidP="00353A18">
            <w:pPr>
              <w:spacing w:after="240"/>
              <w:rPr>
                <w:rFonts w:ascii="Times New Roman" w:hAnsi="Times New Roman" w:cs="Times New Roman"/>
              </w:rPr>
            </w:pPr>
            <w:r w:rsidRPr="00FC11BD">
              <w:rPr>
                <w:rFonts w:ascii="Times New Roman" w:hAnsi="Times New Roman" w:cs="Times New Roman"/>
              </w:rPr>
              <w:t>CenterPoint</w:t>
            </w:r>
          </w:p>
        </w:tc>
        <w:tc>
          <w:tcPr>
            <w:tcW w:w="1296" w:type="dxa"/>
          </w:tcPr>
          <w:p w14:paraId="0047EE86" w14:textId="77777777" w:rsidR="00353A18" w:rsidRPr="00FC11BD" w:rsidRDefault="00353A18" w:rsidP="00353A18">
            <w:pPr>
              <w:spacing w:after="240"/>
              <w:jc w:val="right"/>
              <w:rPr>
                <w:rFonts w:ascii="Times New Roman" w:hAnsi="Times New Roman" w:cs="Times New Roman"/>
              </w:rPr>
            </w:pPr>
            <w:r w:rsidRPr="00FC11BD">
              <w:rPr>
                <w:rFonts w:ascii="Times New Roman" w:hAnsi="Times New Roman" w:cs="Times New Roman"/>
              </w:rPr>
              <w:t>$4,500,000</w:t>
            </w:r>
          </w:p>
        </w:tc>
        <w:tc>
          <w:tcPr>
            <w:tcW w:w="1296" w:type="dxa"/>
          </w:tcPr>
          <w:p w14:paraId="62964772" w14:textId="77777777" w:rsidR="00353A18" w:rsidRPr="00FC11BD" w:rsidRDefault="00353A18" w:rsidP="00353A18">
            <w:pPr>
              <w:spacing w:after="240"/>
              <w:jc w:val="right"/>
              <w:rPr>
                <w:rFonts w:ascii="Times New Roman" w:hAnsi="Times New Roman" w:cs="Times New Roman"/>
              </w:rPr>
            </w:pPr>
            <w:r w:rsidRPr="00FC11BD">
              <w:rPr>
                <w:rFonts w:ascii="Times New Roman" w:hAnsi="Times New Roman" w:cs="Times New Roman"/>
              </w:rPr>
              <w:t>$2,984,948</w:t>
            </w:r>
          </w:p>
        </w:tc>
        <w:tc>
          <w:tcPr>
            <w:tcW w:w="1563" w:type="dxa"/>
          </w:tcPr>
          <w:p w14:paraId="3A3FC62B" w14:textId="77777777" w:rsidR="00353A18" w:rsidRPr="00FC11BD" w:rsidRDefault="00353A18" w:rsidP="00353A18">
            <w:pPr>
              <w:spacing w:after="240"/>
              <w:jc w:val="center"/>
              <w:rPr>
                <w:rFonts w:ascii="Times New Roman" w:hAnsi="Times New Roman" w:cs="Times New Roman"/>
              </w:rPr>
            </w:pPr>
            <w:r w:rsidRPr="00FC11BD">
              <w:rPr>
                <w:rFonts w:ascii="Times New Roman" w:hAnsi="Times New Roman" w:cs="Times New Roman"/>
              </w:rPr>
              <w:t>100 MW</w:t>
            </w:r>
          </w:p>
        </w:tc>
        <w:tc>
          <w:tcPr>
            <w:tcW w:w="1563" w:type="dxa"/>
          </w:tcPr>
          <w:p w14:paraId="3BA23B1C" w14:textId="77777777" w:rsidR="00353A18" w:rsidRPr="00FC11BD" w:rsidRDefault="00353A18" w:rsidP="00353A18">
            <w:pPr>
              <w:spacing w:after="240"/>
              <w:jc w:val="center"/>
              <w:rPr>
                <w:rFonts w:ascii="Times New Roman" w:hAnsi="Times New Roman" w:cs="Times New Roman"/>
              </w:rPr>
            </w:pPr>
            <w:r w:rsidRPr="00FC11BD">
              <w:rPr>
                <w:rFonts w:ascii="Times New Roman" w:hAnsi="Times New Roman" w:cs="Times New Roman"/>
              </w:rPr>
              <w:t>102.24 MW</w:t>
            </w:r>
          </w:p>
        </w:tc>
        <w:tc>
          <w:tcPr>
            <w:tcW w:w="2004" w:type="dxa"/>
          </w:tcPr>
          <w:p w14:paraId="1E4B29B2" w14:textId="6E256B63" w:rsidR="00353A18" w:rsidRPr="00353A18" w:rsidRDefault="00353A18" w:rsidP="00353A18">
            <w:pPr>
              <w:spacing w:after="240"/>
              <w:jc w:val="center"/>
              <w:rPr>
                <w:rFonts w:ascii="Times New Roman" w:hAnsi="Times New Roman" w:cs="Times New Roman"/>
              </w:rPr>
            </w:pPr>
            <w:r w:rsidRPr="00833F57">
              <w:rPr>
                <w:rFonts w:ascii="Times New Roman" w:hAnsi="Times New Roman" w:cs="Times New Roman"/>
              </w:rPr>
              <w:t>Jan</w:t>
            </w:r>
            <w:r>
              <w:rPr>
                <w:rFonts w:ascii="Times New Roman" w:hAnsi="Times New Roman" w:cs="Times New Roman"/>
              </w:rPr>
              <w:t>.</w:t>
            </w:r>
            <w:r w:rsidRPr="00833F57">
              <w:rPr>
                <w:rFonts w:ascii="Times New Roman" w:hAnsi="Times New Roman" w:cs="Times New Roman"/>
              </w:rPr>
              <w:t xml:space="preserve"> 12, 2022</w:t>
            </w:r>
          </w:p>
        </w:tc>
      </w:tr>
      <w:tr w:rsidR="00353A18" w:rsidRPr="00FC11BD" w14:paraId="62532A78" w14:textId="1507C3A4" w:rsidTr="00353A18">
        <w:trPr>
          <w:jc w:val="center"/>
        </w:trPr>
        <w:tc>
          <w:tcPr>
            <w:tcW w:w="1363" w:type="dxa"/>
          </w:tcPr>
          <w:p w14:paraId="13B6E21F" w14:textId="77777777" w:rsidR="00353A18" w:rsidRPr="00FC11BD" w:rsidRDefault="00353A18" w:rsidP="00353A18">
            <w:pPr>
              <w:spacing w:after="240"/>
              <w:rPr>
                <w:rFonts w:ascii="Times New Roman" w:hAnsi="Times New Roman" w:cs="Times New Roman"/>
              </w:rPr>
            </w:pPr>
            <w:r w:rsidRPr="00FC11BD">
              <w:rPr>
                <w:rFonts w:ascii="Times New Roman" w:hAnsi="Times New Roman" w:cs="Times New Roman"/>
              </w:rPr>
              <w:t>Oncor</w:t>
            </w:r>
          </w:p>
        </w:tc>
        <w:tc>
          <w:tcPr>
            <w:tcW w:w="1296" w:type="dxa"/>
          </w:tcPr>
          <w:p w14:paraId="6A0D6F5D" w14:textId="77777777" w:rsidR="00353A18" w:rsidRPr="00FC11BD" w:rsidRDefault="00353A18" w:rsidP="00353A18">
            <w:pPr>
              <w:spacing w:after="240"/>
              <w:jc w:val="right"/>
              <w:rPr>
                <w:rFonts w:ascii="Times New Roman" w:hAnsi="Times New Roman" w:cs="Times New Roman"/>
              </w:rPr>
            </w:pPr>
            <w:r w:rsidRPr="00FC11BD">
              <w:rPr>
                <w:rFonts w:ascii="Times New Roman" w:hAnsi="Times New Roman" w:cs="Times New Roman"/>
              </w:rPr>
              <w:t>$2,000,000</w:t>
            </w:r>
          </w:p>
        </w:tc>
        <w:tc>
          <w:tcPr>
            <w:tcW w:w="1296" w:type="dxa"/>
          </w:tcPr>
          <w:p w14:paraId="20763427" w14:textId="77777777" w:rsidR="00353A18" w:rsidRPr="00FC11BD" w:rsidRDefault="00353A18" w:rsidP="00353A18">
            <w:pPr>
              <w:spacing w:after="240"/>
              <w:jc w:val="right"/>
              <w:rPr>
                <w:rFonts w:ascii="Times New Roman" w:hAnsi="Times New Roman" w:cs="Times New Roman"/>
              </w:rPr>
            </w:pPr>
            <w:r w:rsidRPr="00FC11BD">
              <w:rPr>
                <w:rFonts w:ascii="Times New Roman" w:hAnsi="Times New Roman" w:cs="Times New Roman"/>
              </w:rPr>
              <w:t>$1,388,879</w:t>
            </w:r>
          </w:p>
        </w:tc>
        <w:tc>
          <w:tcPr>
            <w:tcW w:w="1563" w:type="dxa"/>
          </w:tcPr>
          <w:p w14:paraId="71BB8F30" w14:textId="77777777" w:rsidR="00353A18" w:rsidRPr="00FC11BD" w:rsidRDefault="00353A18" w:rsidP="00353A18">
            <w:pPr>
              <w:spacing w:after="240"/>
              <w:jc w:val="center"/>
              <w:rPr>
                <w:rFonts w:ascii="Times New Roman" w:hAnsi="Times New Roman" w:cs="Times New Roman"/>
              </w:rPr>
            </w:pPr>
            <w:r w:rsidRPr="00FC11BD">
              <w:rPr>
                <w:rFonts w:ascii="Times New Roman" w:hAnsi="Times New Roman" w:cs="Times New Roman"/>
              </w:rPr>
              <w:t>50 MW</w:t>
            </w:r>
          </w:p>
        </w:tc>
        <w:tc>
          <w:tcPr>
            <w:tcW w:w="1563" w:type="dxa"/>
          </w:tcPr>
          <w:p w14:paraId="4371082B" w14:textId="77777777" w:rsidR="00353A18" w:rsidRPr="00FC11BD" w:rsidRDefault="00353A18" w:rsidP="00353A18">
            <w:pPr>
              <w:spacing w:after="240"/>
              <w:jc w:val="center"/>
              <w:rPr>
                <w:rFonts w:ascii="Times New Roman" w:hAnsi="Times New Roman" w:cs="Times New Roman"/>
              </w:rPr>
            </w:pPr>
            <w:r w:rsidRPr="00FC11BD">
              <w:rPr>
                <w:rFonts w:ascii="Times New Roman" w:hAnsi="Times New Roman" w:cs="Times New Roman"/>
              </w:rPr>
              <w:t>35 MW</w:t>
            </w:r>
          </w:p>
        </w:tc>
        <w:tc>
          <w:tcPr>
            <w:tcW w:w="2004" w:type="dxa"/>
          </w:tcPr>
          <w:p w14:paraId="65E937D4" w14:textId="3017969C" w:rsidR="00353A18" w:rsidRPr="00353A18" w:rsidRDefault="00353A18" w:rsidP="00353A18">
            <w:pPr>
              <w:spacing w:after="240"/>
              <w:jc w:val="center"/>
              <w:rPr>
                <w:rFonts w:ascii="Times New Roman" w:hAnsi="Times New Roman" w:cs="Times New Roman"/>
              </w:rPr>
            </w:pPr>
            <w:r w:rsidRPr="00833F57">
              <w:rPr>
                <w:rFonts w:ascii="Times New Roman" w:hAnsi="Times New Roman" w:cs="Times New Roman"/>
              </w:rPr>
              <w:t>Dec</w:t>
            </w:r>
            <w:r>
              <w:rPr>
                <w:rFonts w:ascii="Times New Roman" w:hAnsi="Times New Roman" w:cs="Times New Roman"/>
              </w:rPr>
              <w:t xml:space="preserve">. </w:t>
            </w:r>
            <w:r w:rsidRPr="00833F57">
              <w:rPr>
                <w:rFonts w:ascii="Times New Roman" w:hAnsi="Times New Roman" w:cs="Times New Roman"/>
              </w:rPr>
              <w:t>1, 2022</w:t>
            </w:r>
          </w:p>
        </w:tc>
      </w:tr>
      <w:tr w:rsidR="00353A18" w:rsidRPr="00FC11BD" w14:paraId="7256DC62" w14:textId="4F4B87A0" w:rsidTr="00353A18">
        <w:trPr>
          <w:jc w:val="center"/>
        </w:trPr>
        <w:tc>
          <w:tcPr>
            <w:tcW w:w="1363" w:type="dxa"/>
          </w:tcPr>
          <w:p w14:paraId="2B91170F" w14:textId="6D607B03" w:rsidR="00353A18" w:rsidRPr="00FC11BD" w:rsidRDefault="00353A18" w:rsidP="00353A18">
            <w:pPr>
              <w:spacing w:after="240"/>
              <w:rPr>
                <w:rFonts w:ascii="Times New Roman" w:hAnsi="Times New Roman" w:cs="Times New Roman"/>
              </w:rPr>
            </w:pPr>
            <w:proofErr w:type="spellStart"/>
            <w:r w:rsidRPr="00FC11BD">
              <w:rPr>
                <w:rFonts w:ascii="Times New Roman" w:hAnsi="Times New Roman" w:cs="Times New Roman"/>
              </w:rPr>
              <w:t>TNMP</w:t>
            </w:r>
            <w:proofErr w:type="spellEnd"/>
          </w:p>
        </w:tc>
        <w:tc>
          <w:tcPr>
            <w:tcW w:w="1296" w:type="dxa"/>
          </w:tcPr>
          <w:p w14:paraId="782E6FA4" w14:textId="77777777" w:rsidR="00353A18" w:rsidRPr="00FC11BD" w:rsidRDefault="00353A18" w:rsidP="00353A18">
            <w:pPr>
              <w:spacing w:after="240"/>
              <w:jc w:val="right"/>
              <w:rPr>
                <w:rFonts w:ascii="Times New Roman" w:hAnsi="Times New Roman" w:cs="Times New Roman"/>
              </w:rPr>
            </w:pPr>
            <w:r w:rsidRPr="00FC11BD">
              <w:rPr>
                <w:rFonts w:ascii="Times New Roman" w:hAnsi="Times New Roman" w:cs="Times New Roman"/>
              </w:rPr>
              <w:t>$60,000</w:t>
            </w:r>
          </w:p>
        </w:tc>
        <w:tc>
          <w:tcPr>
            <w:tcW w:w="1296" w:type="dxa"/>
          </w:tcPr>
          <w:p w14:paraId="287DD493" w14:textId="77777777" w:rsidR="00353A18" w:rsidRPr="00FC11BD" w:rsidRDefault="00353A18" w:rsidP="00353A18">
            <w:pPr>
              <w:spacing w:after="240"/>
              <w:jc w:val="right"/>
              <w:rPr>
                <w:rFonts w:ascii="Times New Roman" w:hAnsi="Times New Roman" w:cs="Times New Roman"/>
              </w:rPr>
            </w:pPr>
            <w:r w:rsidRPr="00FC11BD">
              <w:rPr>
                <w:rFonts w:ascii="Times New Roman" w:hAnsi="Times New Roman" w:cs="Times New Roman"/>
              </w:rPr>
              <w:t>$42,180</w:t>
            </w:r>
          </w:p>
        </w:tc>
        <w:tc>
          <w:tcPr>
            <w:tcW w:w="1563" w:type="dxa"/>
          </w:tcPr>
          <w:p w14:paraId="7E50D7C0" w14:textId="77777777" w:rsidR="00353A18" w:rsidRPr="00FC11BD" w:rsidRDefault="00353A18" w:rsidP="00353A18">
            <w:pPr>
              <w:spacing w:after="240"/>
              <w:jc w:val="center"/>
              <w:rPr>
                <w:rFonts w:ascii="Times New Roman" w:hAnsi="Times New Roman" w:cs="Times New Roman"/>
              </w:rPr>
            </w:pPr>
            <w:r w:rsidRPr="00FC11BD">
              <w:rPr>
                <w:rFonts w:ascii="Times New Roman" w:hAnsi="Times New Roman" w:cs="Times New Roman"/>
              </w:rPr>
              <w:t>1.5 MW</w:t>
            </w:r>
          </w:p>
        </w:tc>
        <w:tc>
          <w:tcPr>
            <w:tcW w:w="1563" w:type="dxa"/>
          </w:tcPr>
          <w:p w14:paraId="7E71E478" w14:textId="77777777" w:rsidR="00353A18" w:rsidRPr="00FC11BD" w:rsidRDefault="00353A18" w:rsidP="00353A18">
            <w:pPr>
              <w:spacing w:after="240"/>
              <w:jc w:val="center"/>
              <w:rPr>
                <w:rFonts w:ascii="Times New Roman" w:hAnsi="Times New Roman" w:cs="Times New Roman"/>
              </w:rPr>
            </w:pPr>
            <w:r w:rsidRPr="00FC11BD">
              <w:rPr>
                <w:rFonts w:ascii="Times New Roman" w:hAnsi="Times New Roman" w:cs="Times New Roman"/>
              </w:rPr>
              <w:t>1.054 MW</w:t>
            </w:r>
          </w:p>
        </w:tc>
        <w:tc>
          <w:tcPr>
            <w:tcW w:w="2004" w:type="dxa"/>
          </w:tcPr>
          <w:p w14:paraId="1F9EE110" w14:textId="7ECFF019" w:rsidR="00353A18" w:rsidRPr="00353A18" w:rsidRDefault="00353A18" w:rsidP="00353A18">
            <w:pPr>
              <w:spacing w:after="240"/>
              <w:jc w:val="center"/>
              <w:rPr>
                <w:rFonts w:ascii="Times New Roman" w:hAnsi="Times New Roman" w:cs="Times New Roman"/>
              </w:rPr>
            </w:pPr>
            <w:r w:rsidRPr="00833F57">
              <w:rPr>
                <w:rFonts w:ascii="Times New Roman" w:hAnsi="Times New Roman" w:cs="Times New Roman"/>
              </w:rPr>
              <w:t>Jan</w:t>
            </w:r>
            <w:r>
              <w:rPr>
                <w:rFonts w:ascii="Times New Roman" w:hAnsi="Times New Roman" w:cs="Times New Roman"/>
              </w:rPr>
              <w:t>.</w:t>
            </w:r>
            <w:r w:rsidRPr="00833F57">
              <w:rPr>
                <w:rFonts w:ascii="Times New Roman" w:hAnsi="Times New Roman" w:cs="Times New Roman"/>
              </w:rPr>
              <w:t xml:space="preserve"> 1, 2022</w:t>
            </w:r>
          </w:p>
        </w:tc>
      </w:tr>
    </w:tbl>
    <w:p w14:paraId="09518122" w14:textId="56B8ACFB" w:rsidR="002929FD" w:rsidRDefault="002929FD" w:rsidP="002929FD"/>
    <w:p w14:paraId="16D3ADA0" w14:textId="1DF40AD3" w:rsidR="002929FD" w:rsidRDefault="002929FD" w:rsidP="002929FD">
      <w:pPr>
        <w:pStyle w:val="Heading1"/>
      </w:pPr>
      <w:r>
        <w:t>Program Testing</w:t>
      </w:r>
    </w:p>
    <w:p w14:paraId="51B89669" w14:textId="379BB1BE" w:rsidR="002929FD" w:rsidRDefault="002929FD" w:rsidP="002929FD">
      <w:pPr>
        <w:jc w:val="both"/>
      </w:pPr>
      <w:r>
        <w:t xml:space="preserve">ERCOT </w:t>
      </w:r>
      <w:r w:rsidR="006A4782">
        <w:t xml:space="preserve">did not </w:t>
      </w:r>
      <w:r>
        <w:t xml:space="preserve">declare an </w:t>
      </w:r>
      <w:r w:rsidR="009A099F">
        <w:t xml:space="preserve">Energy </w:t>
      </w:r>
      <w:r>
        <w:t xml:space="preserve">Emergency Alert Level 2 condition during the Program Period, which would have triggered the activation of these </w:t>
      </w:r>
      <w:r w:rsidR="009A099F">
        <w:t xml:space="preserve">interim load </w:t>
      </w:r>
      <w:r>
        <w:t>programs. However, each participant performed at least one test during the program period as identified in the chart below.</w:t>
      </w:r>
    </w:p>
    <w:p w14:paraId="35CDF6B8" w14:textId="77777777" w:rsidR="002929FD" w:rsidRDefault="002929FD" w:rsidP="002929FD">
      <w:pPr>
        <w:jc w:val="both"/>
      </w:pPr>
    </w:p>
    <w:tbl>
      <w:tblPr>
        <w:tblStyle w:val="TableGrid"/>
        <w:tblW w:w="6295" w:type="dxa"/>
        <w:jc w:val="center"/>
        <w:tblLook w:val="04A0" w:firstRow="1" w:lastRow="0" w:firstColumn="1" w:lastColumn="0" w:noHBand="0" w:noVBand="1"/>
      </w:tblPr>
      <w:tblGrid>
        <w:gridCol w:w="1615"/>
        <w:gridCol w:w="2340"/>
        <w:gridCol w:w="2340"/>
      </w:tblGrid>
      <w:tr w:rsidR="002929FD" w14:paraId="1CF3AB49" w14:textId="77777777" w:rsidTr="002929FD">
        <w:trPr>
          <w:jc w:val="center"/>
        </w:trPr>
        <w:tc>
          <w:tcPr>
            <w:tcW w:w="1615" w:type="dxa"/>
            <w:vAlign w:val="center"/>
          </w:tcPr>
          <w:p w14:paraId="316F1855" w14:textId="77777777" w:rsidR="002929FD" w:rsidRPr="00833F57" w:rsidRDefault="002929FD" w:rsidP="00DE0C3F">
            <w:pPr>
              <w:keepNext/>
              <w:spacing w:before="120" w:after="120"/>
              <w:jc w:val="center"/>
              <w:rPr>
                <w:rFonts w:ascii="Times New Roman" w:hAnsi="Times New Roman" w:cs="Times New Roman"/>
                <w:b/>
                <w:bCs/>
              </w:rPr>
            </w:pPr>
            <w:r w:rsidRPr="00833F57">
              <w:rPr>
                <w:rFonts w:ascii="Times New Roman" w:hAnsi="Times New Roman" w:cs="Times New Roman"/>
                <w:b/>
                <w:bCs/>
              </w:rPr>
              <w:lastRenderedPageBreak/>
              <w:t>Party</w:t>
            </w:r>
          </w:p>
        </w:tc>
        <w:tc>
          <w:tcPr>
            <w:tcW w:w="2340" w:type="dxa"/>
            <w:vAlign w:val="center"/>
          </w:tcPr>
          <w:p w14:paraId="0E0534B9" w14:textId="77777777" w:rsidR="002929FD" w:rsidRPr="00833F57" w:rsidRDefault="002929FD" w:rsidP="00DE0C3F">
            <w:pPr>
              <w:keepNext/>
              <w:spacing w:before="120" w:after="120"/>
              <w:jc w:val="center"/>
              <w:rPr>
                <w:rFonts w:ascii="Times New Roman" w:hAnsi="Times New Roman" w:cs="Times New Roman"/>
                <w:b/>
                <w:bCs/>
              </w:rPr>
            </w:pPr>
            <w:r w:rsidRPr="00833F57">
              <w:rPr>
                <w:rFonts w:ascii="Times New Roman" w:hAnsi="Times New Roman" w:cs="Times New Roman"/>
                <w:b/>
                <w:bCs/>
              </w:rPr>
              <w:t>Test #1</w:t>
            </w:r>
          </w:p>
        </w:tc>
        <w:tc>
          <w:tcPr>
            <w:tcW w:w="2340" w:type="dxa"/>
            <w:vAlign w:val="center"/>
          </w:tcPr>
          <w:p w14:paraId="78C44763" w14:textId="77777777" w:rsidR="002929FD" w:rsidRPr="00833F57" w:rsidRDefault="002929FD" w:rsidP="00DE0C3F">
            <w:pPr>
              <w:keepNext/>
              <w:spacing w:before="120" w:after="120"/>
              <w:jc w:val="center"/>
              <w:rPr>
                <w:rFonts w:ascii="Times New Roman" w:hAnsi="Times New Roman" w:cs="Times New Roman"/>
                <w:b/>
                <w:bCs/>
              </w:rPr>
            </w:pPr>
            <w:r w:rsidRPr="00833F57">
              <w:rPr>
                <w:rFonts w:ascii="Times New Roman" w:hAnsi="Times New Roman" w:cs="Times New Roman"/>
                <w:b/>
                <w:bCs/>
              </w:rPr>
              <w:t>Test #2</w:t>
            </w:r>
          </w:p>
        </w:tc>
      </w:tr>
      <w:tr w:rsidR="002929FD" w14:paraId="115D6307" w14:textId="77777777" w:rsidTr="0079371B">
        <w:trPr>
          <w:jc w:val="center"/>
        </w:trPr>
        <w:tc>
          <w:tcPr>
            <w:tcW w:w="1615" w:type="dxa"/>
          </w:tcPr>
          <w:p w14:paraId="4AFECEFC" w14:textId="77777777" w:rsidR="002929FD" w:rsidRPr="00833F57" w:rsidRDefault="002929FD" w:rsidP="00DE0C3F">
            <w:pPr>
              <w:keepNext/>
              <w:spacing w:after="240"/>
              <w:rPr>
                <w:rFonts w:ascii="Times New Roman" w:hAnsi="Times New Roman" w:cs="Times New Roman"/>
              </w:rPr>
            </w:pPr>
            <w:r w:rsidRPr="00833F57">
              <w:rPr>
                <w:rFonts w:ascii="Times New Roman" w:hAnsi="Times New Roman" w:cs="Times New Roman"/>
              </w:rPr>
              <w:t>AEP</w:t>
            </w:r>
          </w:p>
        </w:tc>
        <w:tc>
          <w:tcPr>
            <w:tcW w:w="2340" w:type="dxa"/>
          </w:tcPr>
          <w:p w14:paraId="2C576D9E" w14:textId="4286D2F5" w:rsidR="002929FD" w:rsidRPr="00833F57" w:rsidRDefault="002929FD" w:rsidP="00DE0C3F">
            <w:pPr>
              <w:keepNext/>
              <w:spacing w:after="240"/>
              <w:jc w:val="center"/>
              <w:rPr>
                <w:rFonts w:ascii="Times New Roman" w:hAnsi="Times New Roman" w:cs="Times New Roman"/>
              </w:rPr>
            </w:pPr>
            <w:r w:rsidRPr="00833F57">
              <w:rPr>
                <w:rFonts w:ascii="Times New Roman" w:hAnsi="Times New Roman" w:cs="Times New Roman"/>
              </w:rPr>
              <w:t>January 24, 2022</w:t>
            </w:r>
            <w:r w:rsidRPr="00833F57">
              <w:rPr>
                <w:rFonts w:ascii="Times New Roman" w:hAnsi="Times New Roman" w:cs="Times New Roman"/>
              </w:rPr>
              <w:br/>
              <w:t>(10:08 – 11:08)</w:t>
            </w:r>
            <w:r w:rsidR="00F40D8B" w:rsidRPr="00833F57">
              <w:rPr>
                <w:rFonts w:ascii="Times New Roman" w:hAnsi="Times New Roman" w:cs="Times New Roman"/>
              </w:rPr>
              <w:br/>
              <w:t>[partial</w:t>
            </w:r>
            <w:r w:rsidR="00C0055E" w:rsidRPr="00833F57">
              <w:rPr>
                <w:rFonts w:ascii="Times New Roman" w:hAnsi="Times New Roman" w:cs="Times New Roman"/>
              </w:rPr>
              <w:t xml:space="preserve"> 67%</w:t>
            </w:r>
            <w:r w:rsidR="00F40D8B" w:rsidRPr="00833F57">
              <w:rPr>
                <w:rFonts w:ascii="Times New Roman" w:hAnsi="Times New Roman" w:cs="Times New Roman"/>
              </w:rPr>
              <w:t>]</w:t>
            </w:r>
          </w:p>
        </w:tc>
        <w:tc>
          <w:tcPr>
            <w:tcW w:w="2340" w:type="dxa"/>
          </w:tcPr>
          <w:p w14:paraId="31151899" w14:textId="3569BEB3" w:rsidR="002929FD" w:rsidRPr="00833F57" w:rsidRDefault="002929FD" w:rsidP="00DE0C3F">
            <w:pPr>
              <w:keepNext/>
              <w:spacing w:after="240"/>
              <w:jc w:val="center"/>
              <w:rPr>
                <w:rFonts w:ascii="Times New Roman" w:hAnsi="Times New Roman" w:cs="Times New Roman"/>
              </w:rPr>
            </w:pPr>
            <w:r w:rsidRPr="00833F57">
              <w:rPr>
                <w:rFonts w:ascii="Times New Roman" w:hAnsi="Times New Roman" w:cs="Times New Roman"/>
              </w:rPr>
              <w:t>February 15, 2022</w:t>
            </w:r>
            <w:r w:rsidRPr="00833F57">
              <w:rPr>
                <w:rFonts w:ascii="Times New Roman" w:hAnsi="Times New Roman" w:cs="Times New Roman"/>
              </w:rPr>
              <w:br/>
              <w:t>(10:04 – 11:04)</w:t>
            </w:r>
            <w:r w:rsidR="00C0055E" w:rsidRPr="00833F57">
              <w:rPr>
                <w:rFonts w:ascii="Times New Roman" w:hAnsi="Times New Roman" w:cs="Times New Roman"/>
              </w:rPr>
              <w:br/>
              <w:t>[partial 33%]</w:t>
            </w:r>
          </w:p>
        </w:tc>
      </w:tr>
      <w:tr w:rsidR="002929FD" w14:paraId="5F4EF105" w14:textId="77777777" w:rsidTr="0079371B">
        <w:trPr>
          <w:jc w:val="center"/>
        </w:trPr>
        <w:tc>
          <w:tcPr>
            <w:tcW w:w="1615" w:type="dxa"/>
          </w:tcPr>
          <w:p w14:paraId="46ACB4EC" w14:textId="77777777" w:rsidR="002929FD" w:rsidRPr="00833F57" w:rsidRDefault="002929FD" w:rsidP="00DE0C3F">
            <w:pPr>
              <w:keepNext/>
              <w:spacing w:after="240"/>
              <w:rPr>
                <w:rFonts w:ascii="Times New Roman" w:hAnsi="Times New Roman" w:cs="Times New Roman"/>
              </w:rPr>
            </w:pPr>
            <w:r w:rsidRPr="00833F57">
              <w:rPr>
                <w:rFonts w:ascii="Times New Roman" w:hAnsi="Times New Roman" w:cs="Times New Roman"/>
              </w:rPr>
              <w:t>CenterPoint</w:t>
            </w:r>
          </w:p>
        </w:tc>
        <w:tc>
          <w:tcPr>
            <w:tcW w:w="2340" w:type="dxa"/>
          </w:tcPr>
          <w:p w14:paraId="6AA5901B" w14:textId="77777777" w:rsidR="002929FD" w:rsidRPr="00833F57" w:rsidRDefault="002929FD" w:rsidP="00DE0C3F">
            <w:pPr>
              <w:keepNext/>
              <w:spacing w:after="240"/>
              <w:jc w:val="center"/>
              <w:rPr>
                <w:rFonts w:ascii="Times New Roman" w:hAnsi="Times New Roman" w:cs="Times New Roman"/>
              </w:rPr>
            </w:pPr>
            <w:r w:rsidRPr="00833F57">
              <w:rPr>
                <w:rFonts w:ascii="Times New Roman" w:hAnsi="Times New Roman" w:cs="Times New Roman"/>
              </w:rPr>
              <w:t>February 10, 2022</w:t>
            </w:r>
            <w:r w:rsidRPr="00833F57">
              <w:rPr>
                <w:rFonts w:ascii="Times New Roman" w:hAnsi="Times New Roman" w:cs="Times New Roman"/>
              </w:rPr>
              <w:br/>
              <w:t>(8:30 – 11:30)</w:t>
            </w:r>
          </w:p>
        </w:tc>
        <w:tc>
          <w:tcPr>
            <w:tcW w:w="2340" w:type="dxa"/>
          </w:tcPr>
          <w:p w14:paraId="6C965BDC" w14:textId="77777777" w:rsidR="002929FD" w:rsidRPr="00833F57" w:rsidRDefault="002929FD" w:rsidP="00DE0C3F">
            <w:pPr>
              <w:keepNext/>
              <w:spacing w:after="240"/>
              <w:jc w:val="center"/>
              <w:rPr>
                <w:rFonts w:ascii="Times New Roman" w:hAnsi="Times New Roman" w:cs="Times New Roman"/>
              </w:rPr>
            </w:pPr>
            <w:r w:rsidRPr="00833F57">
              <w:rPr>
                <w:rFonts w:ascii="Times New Roman" w:hAnsi="Times New Roman" w:cs="Times New Roman"/>
              </w:rPr>
              <w:t>February 24, 2022</w:t>
            </w:r>
            <w:r w:rsidRPr="00833F57">
              <w:rPr>
                <w:rFonts w:ascii="Times New Roman" w:hAnsi="Times New Roman" w:cs="Times New Roman"/>
              </w:rPr>
              <w:br/>
              <w:t>(18:00 – 21:00)</w:t>
            </w:r>
          </w:p>
        </w:tc>
      </w:tr>
      <w:tr w:rsidR="002929FD" w14:paraId="0C6491B7" w14:textId="77777777" w:rsidTr="0079371B">
        <w:trPr>
          <w:jc w:val="center"/>
        </w:trPr>
        <w:tc>
          <w:tcPr>
            <w:tcW w:w="1615" w:type="dxa"/>
          </w:tcPr>
          <w:p w14:paraId="72812E72" w14:textId="77777777" w:rsidR="002929FD" w:rsidRPr="00833F57" w:rsidRDefault="002929FD" w:rsidP="00DE0C3F">
            <w:pPr>
              <w:keepNext/>
              <w:spacing w:after="240"/>
              <w:rPr>
                <w:rFonts w:ascii="Times New Roman" w:hAnsi="Times New Roman" w:cs="Times New Roman"/>
              </w:rPr>
            </w:pPr>
            <w:r w:rsidRPr="00833F57">
              <w:rPr>
                <w:rFonts w:ascii="Times New Roman" w:hAnsi="Times New Roman" w:cs="Times New Roman"/>
              </w:rPr>
              <w:t>Oncor</w:t>
            </w:r>
          </w:p>
        </w:tc>
        <w:tc>
          <w:tcPr>
            <w:tcW w:w="2340" w:type="dxa"/>
          </w:tcPr>
          <w:p w14:paraId="60DFBF40" w14:textId="0AEF40A2" w:rsidR="002929FD" w:rsidRPr="00833F57" w:rsidRDefault="002929FD" w:rsidP="00DE0C3F">
            <w:pPr>
              <w:keepNext/>
              <w:spacing w:after="240"/>
              <w:jc w:val="center"/>
              <w:rPr>
                <w:rFonts w:ascii="Times New Roman" w:hAnsi="Times New Roman" w:cs="Times New Roman"/>
              </w:rPr>
            </w:pPr>
            <w:r w:rsidRPr="00833F57">
              <w:rPr>
                <w:rFonts w:ascii="Times New Roman" w:hAnsi="Times New Roman" w:cs="Times New Roman"/>
              </w:rPr>
              <w:t>December 15, 2021</w:t>
            </w:r>
            <w:r w:rsidRPr="00833F57">
              <w:rPr>
                <w:rFonts w:ascii="Times New Roman" w:hAnsi="Times New Roman" w:cs="Times New Roman"/>
              </w:rPr>
              <w:br/>
              <w:t>(7:00 – 10:00)</w:t>
            </w:r>
          </w:p>
        </w:tc>
        <w:tc>
          <w:tcPr>
            <w:tcW w:w="2340" w:type="dxa"/>
          </w:tcPr>
          <w:p w14:paraId="02B8F390" w14:textId="77777777" w:rsidR="002929FD" w:rsidRPr="00833F57" w:rsidRDefault="002929FD" w:rsidP="00DE0C3F">
            <w:pPr>
              <w:keepNext/>
              <w:spacing w:after="240"/>
              <w:jc w:val="center"/>
              <w:rPr>
                <w:rFonts w:ascii="Times New Roman" w:hAnsi="Times New Roman" w:cs="Times New Roman"/>
              </w:rPr>
            </w:pPr>
            <w:r w:rsidRPr="00833F57">
              <w:rPr>
                <w:rFonts w:ascii="Times New Roman" w:hAnsi="Times New Roman" w:cs="Times New Roman"/>
              </w:rPr>
              <w:t>N/A</w:t>
            </w:r>
          </w:p>
        </w:tc>
      </w:tr>
      <w:tr w:rsidR="002929FD" w14:paraId="15492636" w14:textId="77777777" w:rsidTr="0079371B">
        <w:trPr>
          <w:jc w:val="center"/>
        </w:trPr>
        <w:tc>
          <w:tcPr>
            <w:tcW w:w="1615" w:type="dxa"/>
          </w:tcPr>
          <w:p w14:paraId="0936C804" w14:textId="599B734A" w:rsidR="002929FD" w:rsidRPr="00833F57" w:rsidRDefault="002929FD" w:rsidP="002929FD">
            <w:pPr>
              <w:spacing w:after="240"/>
              <w:rPr>
                <w:rFonts w:ascii="Times New Roman" w:hAnsi="Times New Roman" w:cs="Times New Roman"/>
              </w:rPr>
            </w:pPr>
            <w:proofErr w:type="spellStart"/>
            <w:r w:rsidRPr="00833F57">
              <w:rPr>
                <w:rFonts w:ascii="Times New Roman" w:hAnsi="Times New Roman" w:cs="Times New Roman"/>
              </w:rPr>
              <w:t>T</w:t>
            </w:r>
            <w:r w:rsidR="009A099F" w:rsidRPr="00833F57">
              <w:rPr>
                <w:rFonts w:ascii="Times New Roman" w:hAnsi="Times New Roman" w:cs="Times New Roman"/>
              </w:rPr>
              <w:t>NM</w:t>
            </w:r>
            <w:r w:rsidRPr="00833F57">
              <w:rPr>
                <w:rFonts w:ascii="Times New Roman" w:hAnsi="Times New Roman" w:cs="Times New Roman"/>
              </w:rPr>
              <w:t>P</w:t>
            </w:r>
            <w:proofErr w:type="spellEnd"/>
          </w:p>
        </w:tc>
        <w:tc>
          <w:tcPr>
            <w:tcW w:w="2340" w:type="dxa"/>
          </w:tcPr>
          <w:p w14:paraId="15A40435" w14:textId="4F501A91" w:rsidR="002F2950" w:rsidRPr="00833F57" w:rsidRDefault="002929FD" w:rsidP="002F2950">
            <w:pPr>
              <w:spacing w:after="240"/>
              <w:jc w:val="center"/>
              <w:rPr>
                <w:rFonts w:ascii="Times New Roman" w:hAnsi="Times New Roman" w:cs="Times New Roman"/>
              </w:rPr>
            </w:pPr>
            <w:r w:rsidRPr="00833F57">
              <w:rPr>
                <w:rFonts w:ascii="Times New Roman" w:hAnsi="Times New Roman" w:cs="Times New Roman"/>
              </w:rPr>
              <w:t>January 5, 2022</w:t>
            </w:r>
            <w:r w:rsidRPr="00833F57">
              <w:rPr>
                <w:rFonts w:ascii="Times New Roman" w:hAnsi="Times New Roman" w:cs="Times New Roman"/>
              </w:rPr>
              <w:br/>
              <w:t>(10:00 – 14:00)</w:t>
            </w:r>
            <w:r w:rsidR="002F2950" w:rsidRPr="00833F57">
              <w:rPr>
                <w:rFonts w:ascii="Times New Roman" w:hAnsi="Times New Roman" w:cs="Times New Roman"/>
              </w:rPr>
              <w:br/>
              <w:t>[partial 50%]</w:t>
            </w:r>
          </w:p>
        </w:tc>
        <w:tc>
          <w:tcPr>
            <w:tcW w:w="2340" w:type="dxa"/>
          </w:tcPr>
          <w:p w14:paraId="504229C4" w14:textId="3E01C44F" w:rsidR="002929FD" w:rsidRPr="00833F57" w:rsidRDefault="002929FD" w:rsidP="002929FD">
            <w:pPr>
              <w:spacing w:after="240"/>
              <w:jc w:val="center"/>
              <w:rPr>
                <w:rFonts w:ascii="Times New Roman" w:hAnsi="Times New Roman" w:cs="Times New Roman"/>
              </w:rPr>
            </w:pPr>
            <w:r w:rsidRPr="00833F57">
              <w:rPr>
                <w:rFonts w:ascii="Times New Roman" w:hAnsi="Times New Roman" w:cs="Times New Roman"/>
              </w:rPr>
              <w:t>January 5, 2022</w:t>
            </w:r>
            <w:r w:rsidRPr="00833F57">
              <w:rPr>
                <w:rFonts w:ascii="Times New Roman" w:hAnsi="Times New Roman" w:cs="Times New Roman"/>
              </w:rPr>
              <w:br/>
              <w:t>(16:00 – 20:00)</w:t>
            </w:r>
            <w:r w:rsidR="002F2950" w:rsidRPr="00833F57">
              <w:rPr>
                <w:rFonts w:ascii="Times New Roman" w:hAnsi="Times New Roman" w:cs="Times New Roman"/>
              </w:rPr>
              <w:br/>
              <w:t>[partial 50%]</w:t>
            </w:r>
          </w:p>
        </w:tc>
      </w:tr>
    </w:tbl>
    <w:p w14:paraId="324BAF93" w14:textId="77777777" w:rsidR="002929FD" w:rsidRDefault="002929FD" w:rsidP="002929FD"/>
    <w:p w14:paraId="1C9B5898" w14:textId="77777777" w:rsidR="002929FD" w:rsidRDefault="002929FD" w:rsidP="002929FD">
      <w:pPr>
        <w:pStyle w:val="Heading1"/>
      </w:pPr>
      <w:r>
        <w:t>Comparison with ERS</w:t>
      </w:r>
    </w:p>
    <w:p w14:paraId="0C325170" w14:textId="075BB1EA" w:rsidR="005E02C5" w:rsidRDefault="005E02C5" w:rsidP="00324CE8">
      <w:pPr>
        <w:spacing w:after="160" w:line="256" w:lineRule="auto"/>
        <w:jc w:val="both"/>
        <w:rPr>
          <w:rFonts w:eastAsia="Calibri"/>
          <w:szCs w:val="24"/>
        </w:rPr>
      </w:pPr>
      <w:r w:rsidRPr="005E02C5">
        <w:rPr>
          <w:rFonts w:eastAsia="Calibri"/>
          <w:szCs w:val="24"/>
        </w:rPr>
        <w:t xml:space="preserve">Because the </w:t>
      </w:r>
      <w:r w:rsidR="0043336E">
        <w:rPr>
          <w:rFonts w:eastAsia="Calibri"/>
          <w:szCs w:val="24"/>
        </w:rPr>
        <w:t xml:space="preserve">respective </w:t>
      </w:r>
      <w:r w:rsidRPr="005E02C5">
        <w:rPr>
          <w:rFonts w:eastAsia="Calibri"/>
          <w:szCs w:val="24"/>
        </w:rPr>
        <w:t>programs provided different incentives and had different program participation dates, it is helpful to compare these costs in terms of dollars per MW per hour of obligation. Based on the information</w:t>
      </w:r>
      <w:r w:rsidR="003B2E54">
        <w:rPr>
          <w:rFonts w:eastAsia="Calibri"/>
          <w:szCs w:val="24"/>
        </w:rPr>
        <w:t xml:space="preserve"> provided by the </w:t>
      </w:r>
      <w:r w:rsidR="005F471D">
        <w:rPr>
          <w:rFonts w:eastAsia="Calibri"/>
          <w:szCs w:val="24"/>
        </w:rPr>
        <w:t xml:space="preserve">Participating Utilities, </w:t>
      </w:r>
      <w:r w:rsidRPr="005E02C5">
        <w:rPr>
          <w:rFonts w:eastAsia="Calibri"/>
          <w:szCs w:val="24"/>
        </w:rPr>
        <w:t xml:space="preserve">the program costs </w:t>
      </w:r>
      <w:r w:rsidR="0043336E">
        <w:rPr>
          <w:rFonts w:eastAsia="Calibri"/>
          <w:szCs w:val="24"/>
        </w:rPr>
        <w:t xml:space="preserve">ranged </w:t>
      </w:r>
      <w:r w:rsidRPr="005E02C5">
        <w:rPr>
          <w:rFonts w:eastAsia="Calibri"/>
          <w:szCs w:val="24"/>
        </w:rPr>
        <w:t xml:space="preserve">from $18.58 </w:t>
      </w:r>
      <w:r w:rsidR="00E2231C">
        <w:rPr>
          <w:rFonts w:eastAsia="Calibri"/>
          <w:szCs w:val="24"/>
        </w:rPr>
        <w:t xml:space="preserve">to $41.67 </w:t>
      </w:r>
      <w:r w:rsidRPr="005E02C5">
        <w:rPr>
          <w:rFonts w:eastAsia="Calibri"/>
          <w:szCs w:val="24"/>
        </w:rPr>
        <w:t xml:space="preserve">per MW per hour of obligation, as shown in </w:t>
      </w:r>
      <w:r w:rsidR="00673248">
        <w:rPr>
          <w:rFonts w:eastAsia="Calibri"/>
          <w:szCs w:val="24"/>
        </w:rPr>
        <w:t>the table below</w:t>
      </w:r>
      <w:r w:rsidRPr="005E02C5">
        <w:rPr>
          <w:rFonts w:eastAsia="Calibri"/>
          <w:szCs w:val="24"/>
        </w:rPr>
        <w:t xml:space="preserve">. The weighted average cost for all </w:t>
      </w:r>
      <w:r w:rsidR="0043336E">
        <w:rPr>
          <w:rFonts w:eastAsia="Calibri"/>
          <w:szCs w:val="24"/>
        </w:rPr>
        <w:t>programs</w:t>
      </w:r>
      <w:r w:rsidR="00E2231C">
        <w:rPr>
          <w:rFonts w:eastAsia="Calibri"/>
          <w:szCs w:val="24"/>
        </w:rPr>
        <w:t xml:space="preserve"> </w:t>
      </w:r>
      <w:r w:rsidRPr="005E02C5">
        <w:rPr>
          <w:rFonts w:eastAsia="Calibri"/>
          <w:szCs w:val="24"/>
        </w:rPr>
        <w:t>was $2</w:t>
      </w:r>
      <w:r w:rsidR="00F4580B">
        <w:rPr>
          <w:rFonts w:eastAsia="Calibri"/>
          <w:szCs w:val="24"/>
        </w:rPr>
        <w:t>4.20</w:t>
      </w:r>
      <w:r w:rsidRPr="005E02C5">
        <w:rPr>
          <w:rFonts w:eastAsia="Calibri"/>
          <w:szCs w:val="24"/>
        </w:rPr>
        <w:t xml:space="preserve"> per MW per hour of obligation.</w:t>
      </w:r>
      <w:r w:rsidR="0043336E">
        <w:rPr>
          <w:rFonts w:eastAsia="Calibri"/>
          <w:szCs w:val="24"/>
        </w:rPr>
        <w:t xml:space="preserve"> For sake of comparison, a</w:t>
      </w:r>
      <w:r w:rsidR="00453918">
        <w:rPr>
          <w:rFonts w:eastAsia="Calibri"/>
          <w:szCs w:val="24"/>
        </w:rPr>
        <w:t xml:space="preserve">n equivalent value of $9.65 per MW per hour of obligation has been provided </w:t>
      </w:r>
      <w:r w:rsidR="00A93C38">
        <w:rPr>
          <w:rFonts w:eastAsia="Calibri"/>
          <w:szCs w:val="24"/>
        </w:rPr>
        <w:t xml:space="preserve">for the </w:t>
      </w:r>
      <w:r w:rsidR="00A93C38" w:rsidRPr="005E02C5">
        <w:rPr>
          <w:rFonts w:eastAsia="Calibri"/>
          <w:szCs w:val="24"/>
        </w:rPr>
        <w:t>ERCOT-administered Emergency Response Service (ERS) program.</w:t>
      </w:r>
      <w:r w:rsidR="00465D0F">
        <w:rPr>
          <w:rStyle w:val="FootnoteReference"/>
          <w:rFonts w:eastAsia="Calibri"/>
          <w:szCs w:val="24"/>
        </w:rPr>
        <w:footnoteReference w:id="5"/>
      </w:r>
      <w:r w:rsidR="00A93C38" w:rsidRPr="005E02C5">
        <w:rPr>
          <w:rFonts w:eastAsia="Calibri"/>
          <w:szCs w:val="24"/>
        </w:rPr>
        <w:t xml:space="preserve"> </w:t>
      </w:r>
      <w:r w:rsidR="006416A3">
        <w:rPr>
          <w:rFonts w:eastAsia="Calibri"/>
          <w:szCs w:val="24"/>
        </w:rPr>
        <w:t>Commission S</w:t>
      </w:r>
      <w:r w:rsidR="00573F0E">
        <w:t>taff notes that the actual program costs were higher than they would have been if all programs had started on December 1, 2021,</w:t>
      </w:r>
      <w:r w:rsidR="00CD6BE5">
        <w:rPr>
          <w:rStyle w:val="FootnoteReference"/>
        </w:rPr>
        <w:footnoteReference w:id="6"/>
      </w:r>
      <w:r w:rsidR="00573F0E">
        <w:t xml:space="preserve"> as requested by</w:t>
      </w:r>
      <w:r w:rsidR="00B44030">
        <w:t xml:space="preserve"> AEP, C</w:t>
      </w:r>
      <w:r w:rsidR="00172357">
        <w:t xml:space="preserve">enterPoint, and </w:t>
      </w:r>
      <w:proofErr w:type="spellStart"/>
      <w:r w:rsidR="00172357">
        <w:t>TNMP</w:t>
      </w:r>
      <w:proofErr w:type="spellEnd"/>
      <w:r w:rsidR="00172357">
        <w:t xml:space="preserve">, </w:t>
      </w:r>
      <w:r w:rsidR="00667258">
        <w:t xml:space="preserve">because </w:t>
      </w:r>
      <w:r w:rsidR="00667258">
        <w:rPr>
          <w:rFonts w:eastAsia="Calibri"/>
          <w:szCs w:val="24"/>
        </w:rPr>
        <w:t xml:space="preserve">the program incentives were not pro-rated based on a shorter period of obligation. </w:t>
      </w:r>
      <w:r w:rsidR="000A5513">
        <w:rPr>
          <w:rFonts w:eastAsia="Calibri"/>
          <w:szCs w:val="24"/>
        </w:rPr>
        <w:t xml:space="preserve">The second column </w:t>
      </w:r>
      <w:r w:rsidR="00172357">
        <w:rPr>
          <w:rFonts w:eastAsia="Calibri"/>
          <w:szCs w:val="24"/>
        </w:rPr>
        <w:t xml:space="preserve">illustrates </w:t>
      </w:r>
      <w:r w:rsidR="00467516">
        <w:rPr>
          <w:rFonts w:eastAsia="Calibri"/>
          <w:szCs w:val="24"/>
        </w:rPr>
        <w:t xml:space="preserve">the cost per MW per hour of obligation </w:t>
      </w:r>
      <w:r w:rsidR="00C1058F">
        <w:rPr>
          <w:rFonts w:eastAsia="Calibri"/>
          <w:szCs w:val="24"/>
        </w:rPr>
        <w:t xml:space="preserve">had the program </w:t>
      </w:r>
      <w:r w:rsidR="0010791C">
        <w:rPr>
          <w:rFonts w:eastAsia="Calibri"/>
          <w:szCs w:val="24"/>
        </w:rPr>
        <w:t>b</w:t>
      </w:r>
      <w:r w:rsidR="0010791C">
        <w:t>egun on December 1, 2021 as originally anticipated by the Participating Utilities</w:t>
      </w:r>
      <w:r w:rsidR="0010791C">
        <w:rPr>
          <w:rFonts w:eastAsia="Calibri"/>
          <w:szCs w:val="24"/>
        </w:rPr>
        <w:t xml:space="preserve"> </w:t>
      </w:r>
      <w:r w:rsidR="00467516">
        <w:rPr>
          <w:rFonts w:eastAsia="Calibri"/>
          <w:szCs w:val="24"/>
        </w:rPr>
        <w:t xml:space="preserve">assuming that </w:t>
      </w:r>
      <w:r w:rsidR="00C30B46">
        <w:rPr>
          <w:rFonts w:eastAsia="Calibri"/>
          <w:szCs w:val="24"/>
        </w:rPr>
        <w:t xml:space="preserve">procurement would not have been affected by </w:t>
      </w:r>
      <w:r w:rsidR="007A133F">
        <w:rPr>
          <w:rFonts w:eastAsia="Calibri"/>
          <w:szCs w:val="24"/>
        </w:rPr>
        <w:t>a longer program period.</w:t>
      </w:r>
    </w:p>
    <w:tbl>
      <w:tblPr>
        <w:tblStyle w:val="TableGrid"/>
        <w:tblW w:w="0" w:type="auto"/>
        <w:jc w:val="center"/>
        <w:tblLook w:val="04A0" w:firstRow="1" w:lastRow="0" w:firstColumn="1" w:lastColumn="0" w:noHBand="0" w:noVBand="1"/>
      </w:tblPr>
      <w:tblGrid>
        <w:gridCol w:w="1705"/>
        <w:gridCol w:w="2340"/>
        <w:gridCol w:w="2340"/>
      </w:tblGrid>
      <w:tr w:rsidR="0051504B" w:rsidRPr="00AF2524" w14:paraId="74B744FC" w14:textId="77777777" w:rsidTr="007A133F">
        <w:trPr>
          <w:jc w:val="center"/>
        </w:trPr>
        <w:tc>
          <w:tcPr>
            <w:tcW w:w="1705" w:type="dxa"/>
          </w:tcPr>
          <w:p w14:paraId="02274385" w14:textId="77777777" w:rsidR="0051504B" w:rsidRPr="00AF2524" w:rsidRDefault="0051504B" w:rsidP="007A133F">
            <w:pPr>
              <w:keepNext/>
              <w:jc w:val="center"/>
              <w:rPr>
                <w:rFonts w:ascii="Times New Roman" w:hAnsi="Times New Roman" w:cs="Times New Roman"/>
              </w:rPr>
            </w:pPr>
            <w:r w:rsidRPr="00AF2524">
              <w:rPr>
                <w:rFonts w:ascii="Times New Roman" w:hAnsi="Times New Roman" w:cs="Times New Roman"/>
              </w:rPr>
              <w:lastRenderedPageBreak/>
              <w:t>Party</w:t>
            </w:r>
          </w:p>
        </w:tc>
        <w:tc>
          <w:tcPr>
            <w:tcW w:w="2340" w:type="dxa"/>
          </w:tcPr>
          <w:p w14:paraId="3755EBE8" w14:textId="46251D3F" w:rsidR="0051504B" w:rsidRPr="00AF2524" w:rsidRDefault="005F471D" w:rsidP="007A133F">
            <w:pPr>
              <w:keepNext/>
              <w:spacing w:after="120"/>
              <w:jc w:val="center"/>
              <w:rPr>
                <w:rFonts w:ascii="Times New Roman" w:hAnsi="Times New Roman" w:cs="Times New Roman"/>
              </w:rPr>
            </w:pPr>
            <w:r>
              <w:rPr>
                <w:rFonts w:ascii="Times New Roman" w:hAnsi="Times New Roman" w:cs="Times New Roman"/>
              </w:rPr>
              <w:t>$</w:t>
            </w:r>
            <w:r w:rsidRPr="00AF2524">
              <w:rPr>
                <w:rFonts w:ascii="Times New Roman" w:hAnsi="Times New Roman" w:cs="Times New Roman"/>
              </w:rPr>
              <w:t xml:space="preserve"> </w:t>
            </w:r>
            <w:r w:rsidR="0051504B" w:rsidRPr="00AF2524">
              <w:rPr>
                <w:rFonts w:ascii="Times New Roman" w:hAnsi="Times New Roman" w:cs="Times New Roman"/>
              </w:rPr>
              <w:t>per MW</w:t>
            </w:r>
            <w:r>
              <w:rPr>
                <w:rFonts w:ascii="Times New Roman" w:hAnsi="Times New Roman" w:cs="Times New Roman"/>
              </w:rPr>
              <w:br/>
            </w:r>
            <w:r w:rsidR="0051504B" w:rsidRPr="00AF2524">
              <w:rPr>
                <w:rFonts w:ascii="Times New Roman" w:hAnsi="Times New Roman" w:cs="Times New Roman"/>
              </w:rPr>
              <w:t>per hour</w:t>
            </w:r>
            <w:r w:rsidR="005033F0">
              <w:rPr>
                <w:rFonts w:ascii="Times New Roman" w:hAnsi="Times New Roman" w:cs="Times New Roman"/>
              </w:rPr>
              <w:t xml:space="preserve"> of obligation</w:t>
            </w:r>
            <w:r>
              <w:rPr>
                <w:rFonts w:ascii="Times New Roman" w:hAnsi="Times New Roman" w:cs="Times New Roman"/>
              </w:rPr>
              <w:br/>
              <w:t>(actual program term)</w:t>
            </w:r>
          </w:p>
        </w:tc>
        <w:tc>
          <w:tcPr>
            <w:tcW w:w="2340" w:type="dxa"/>
          </w:tcPr>
          <w:p w14:paraId="7647EBA9" w14:textId="1F3A3F8C" w:rsidR="0051504B" w:rsidRPr="00AF2524" w:rsidRDefault="005F471D" w:rsidP="007A133F">
            <w:pPr>
              <w:keepNext/>
              <w:spacing w:after="120"/>
              <w:jc w:val="center"/>
              <w:rPr>
                <w:rFonts w:ascii="Times New Roman" w:hAnsi="Times New Roman" w:cs="Times New Roman"/>
              </w:rPr>
            </w:pPr>
            <w:r>
              <w:rPr>
                <w:rFonts w:ascii="Times New Roman" w:hAnsi="Times New Roman" w:cs="Times New Roman"/>
              </w:rPr>
              <w:t>$</w:t>
            </w:r>
            <w:r w:rsidRPr="00AF2524">
              <w:rPr>
                <w:rFonts w:ascii="Times New Roman" w:hAnsi="Times New Roman" w:cs="Times New Roman"/>
              </w:rPr>
              <w:t xml:space="preserve"> per MW</w:t>
            </w:r>
            <w:r>
              <w:rPr>
                <w:rFonts w:ascii="Times New Roman" w:hAnsi="Times New Roman" w:cs="Times New Roman"/>
              </w:rPr>
              <w:br/>
            </w:r>
            <w:r w:rsidR="005033F0" w:rsidRPr="00AF2524">
              <w:rPr>
                <w:rFonts w:ascii="Times New Roman" w:hAnsi="Times New Roman" w:cs="Times New Roman"/>
              </w:rPr>
              <w:t>per hour</w:t>
            </w:r>
            <w:r w:rsidR="005033F0">
              <w:rPr>
                <w:rFonts w:ascii="Times New Roman" w:hAnsi="Times New Roman" w:cs="Times New Roman"/>
              </w:rPr>
              <w:t xml:space="preserve"> of obligation</w:t>
            </w:r>
            <w:r w:rsidR="005033F0" w:rsidRPr="00AF2524" w:rsidDel="005033F0">
              <w:rPr>
                <w:rFonts w:ascii="Times New Roman" w:hAnsi="Times New Roman" w:cs="Times New Roman"/>
              </w:rPr>
              <w:t xml:space="preserve"> </w:t>
            </w:r>
            <w:r w:rsidR="005033F0">
              <w:rPr>
                <w:rFonts w:ascii="Times New Roman" w:hAnsi="Times New Roman" w:cs="Times New Roman"/>
              </w:rPr>
              <w:br/>
            </w:r>
            <w:r w:rsidR="0051504B" w:rsidRPr="00AF2524">
              <w:rPr>
                <w:rFonts w:ascii="Times New Roman" w:hAnsi="Times New Roman" w:cs="Times New Roman"/>
              </w:rPr>
              <w:t>(</w:t>
            </w:r>
            <w:r w:rsidR="007B06CE">
              <w:rPr>
                <w:rFonts w:ascii="Times New Roman" w:hAnsi="Times New Roman" w:cs="Times New Roman"/>
              </w:rPr>
              <w:t xml:space="preserve">12/01/2021 </w:t>
            </w:r>
            <w:r w:rsidR="00EE08A3">
              <w:rPr>
                <w:rFonts w:ascii="Times New Roman" w:hAnsi="Times New Roman" w:cs="Times New Roman"/>
              </w:rPr>
              <w:t>–</w:t>
            </w:r>
            <w:r w:rsidR="007B06CE">
              <w:rPr>
                <w:rFonts w:ascii="Times New Roman" w:hAnsi="Times New Roman" w:cs="Times New Roman"/>
              </w:rPr>
              <w:t xml:space="preserve"> </w:t>
            </w:r>
            <w:r w:rsidR="00EE08A3">
              <w:rPr>
                <w:rFonts w:ascii="Times New Roman" w:hAnsi="Times New Roman" w:cs="Times New Roman"/>
              </w:rPr>
              <w:t>02/28/2022</w:t>
            </w:r>
            <w:r>
              <w:rPr>
                <w:rFonts w:ascii="Times New Roman" w:hAnsi="Times New Roman" w:cs="Times New Roman"/>
              </w:rPr>
              <w:t>)</w:t>
            </w:r>
          </w:p>
        </w:tc>
      </w:tr>
      <w:tr w:rsidR="0051504B" w:rsidRPr="00AF2524" w14:paraId="1AAB2EB1" w14:textId="77777777" w:rsidTr="007A133F">
        <w:trPr>
          <w:jc w:val="center"/>
        </w:trPr>
        <w:tc>
          <w:tcPr>
            <w:tcW w:w="1705" w:type="dxa"/>
          </w:tcPr>
          <w:p w14:paraId="35DE6265" w14:textId="77777777" w:rsidR="0051504B" w:rsidRPr="00AF2524" w:rsidRDefault="0051504B" w:rsidP="007A133F">
            <w:pPr>
              <w:keepNext/>
              <w:rPr>
                <w:rFonts w:ascii="Times New Roman" w:hAnsi="Times New Roman" w:cs="Times New Roman"/>
              </w:rPr>
            </w:pPr>
            <w:r w:rsidRPr="00AF2524">
              <w:rPr>
                <w:rFonts w:ascii="Times New Roman" w:hAnsi="Times New Roman" w:cs="Times New Roman"/>
              </w:rPr>
              <w:t>AEP</w:t>
            </w:r>
          </w:p>
        </w:tc>
        <w:tc>
          <w:tcPr>
            <w:tcW w:w="2340" w:type="dxa"/>
          </w:tcPr>
          <w:p w14:paraId="2F71976E" w14:textId="41190F78" w:rsidR="0051504B" w:rsidRPr="00AF2524" w:rsidRDefault="004D40FF" w:rsidP="007A133F">
            <w:pPr>
              <w:keepNext/>
              <w:spacing w:after="120"/>
              <w:jc w:val="center"/>
              <w:rPr>
                <w:rFonts w:ascii="Times New Roman" w:hAnsi="Times New Roman" w:cs="Times New Roman"/>
              </w:rPr>
            </w:pPr>
            <w:r>
              <w:rPr>
                <w:rFonts w:ascii="Times New Roman" w:hAnsi="Times New Roman" w:cs="Times New Roman"/>
              </w:rPr>
              <w:t>$41.67</w:t>
            </w:r>
          </w:p>
        </w:tc>
        <w:tc>
          <w:tcPr>
            <w:tcW w:w="2340" w:type="dxa"/>
          </w:tcPr>
          <w:p w14:paraId="33CB2F87" w14:textId="09E91EC9" w:rsidR="0051504B" w:rsidRPr="00AF2524" w:rsidRDefault="00EB229D" w:rsidP="007A133F">
            <w:pPr>
              <w:keepNext/>
              <w:spacing w:after="120"/>
              <w:jc w:val="center"/>
              <w:rPr>
                <w:rFonts w:ascii="Times New Roman" w:hAnsi="Times New Roman" w:cs="Times New Roman"/>
              </w:rPr>
            </w:pPr>
            <w:r>
              <w:rPr>
                <w:rFonts w:ascii="Times New Roman" w:hAnsi="Times New Roman" w:cs="Times New Roman"/>
              </w:rPr>
              <w:t>$16.39</w:t>
            </w:r>
          </w:p>
        </w:tc>
      </w:tr>
      <w:tr w:rsidR="0051504B" w:rsidRPr="00AF2524" w14:paraId="0D22D57A" w14:textId="77777777" w:rsidTr="007A133F">
        <w:trPr>
          <w:jc w:val="center"/>
        </w:trPr>
        <w:tc>
          <w:tcPr>
            <w:tcW w:w="1705" w:type="dxa"/>
          </w:tcPr>
          <w:p w14:paraId="342B0428" w14:textId="77777777" w:rsidR="0051504B" w:rsidRPr="00AF2524" w:rsidRDefault="0051504B" w:rsidP="007A133F">
            <w:pPr>
              <w:keepNext/>
              <w:rPr>
                <w:rFonts w:ascii="Times New Roman" w:hAnsi="Times New Roman" w:cs="Times New Roman"/>
              </w:rPr>
            </w:pPr>
            <w:r w:rsidRPr="00AF2524">
              <w:rPr>
                <w:rFonts w:ascii="Times New Roman" w:hAnsi="Times New Roman" w:cs="Times New Roman"/>
              </w:rPr>
              <w:t>CenterPoint</w:t>
            </w:r>
          </w:p>
        </w:tc>
        <w:tc>
          <w:tcPr>
            <w:tcW w:w="2340" w:type="dxa"/>
          </w:tcPr>
          <w:p w14:paraId="714B53C9" w14:textId="3BB66FEF" w:rsidR="0051504B" w:rsidRPr="00AF2524" w:rsidRDefault="004D40FF" w:rsidP="007A133F">
            <w:pPr>
              <w:keepNext/>
              <w:spacing w:after="120"/>
              <w:jc w:val="center"/>
              <w:rPr>
                <w:rFonts w:ascii="Times New Roman" w:hAnsi="Times New Roman" w:cs="Times New Roman"/>
              </w:rPr>
            </w:pPr>
            <w:r>
              <w:rPr>
                <w:rFonts w:ascii="Times New Roman" w:hAnsi="Times New Roman" w:cs="Times New Roman"/>
              </w:rPr>
              <w:t>$25.</w:t>
            </w:r>
            <w:r w:rsidR="009825B5">
              <w:rPr>
                <w:rFonts w:ascii="Times New Roman" w:hAnsi="Times New Roman" w:cs="Times New Roman"/>
              </w:rPr>
              <w:t>88</w:t>
            </w:r>
          </w:p>
        </w:tc>
        <w:tc>
          <w:tcPr>
            <w:tcW w:w="2340" w:type="dxa"/>
          </w:tcPr>
          <w:p w14:paraId="71DA3D61" w14:textId="29309D47" w:rsidR="0051504B" w:rsidRPr="00AF2524" w:rsidRDefault="00EB229D" w:rsidP="007A133F">
            <w:pPr>
              <w:keepNext/>
              <w:spacing w:after="120"/>
              <w:jc w:val="center"/>
              <w:rPr>
                <w:rFonts w:ascii="Times New Roman" w:hAnsi="Times New Roman" w:cs="Times New Roman"/>
              </w:rPr>
            </w:pPr>
            <w:r>
              <w:rPr>
                <w:rFonts w:ascii="Times New Roman" w:hAnsi="Times New Roman" w:cs="Times New Roman"/>
              </w:rPr>
              <w:t>$13.67</w:t>
            </w:r>
          </w:p>
        </w:tc>
      </w:tr>
      <w:tr w:rsidR="0051504B" w:rsidRPr="00AF2524" w14:paraId="7444D54A" w14:textId="77777777" w:rsidTr="007A133F">
        <w:trPr>
          <w:jc w:val="center"/>
        </w:trPr>
        <w:tc>
          <w:tcPr>
            <w:tcW w:w="1705" w:type="dxa"/>
          </w:tcPr>
          <w:p w14:paraId="0C64748D" w14:textId="77777777" w:rsidR="0051504B" w:rsidRPr="00AF2524" w:rsidRDefault="0051504B" w:rsidP="007A133F">
            <w:pPr>
              <w:keepNext/>
              <w:rPr>
                <w:rFonts w:ascii="Times New Roman" w:hAnsi="Times New Roman" w:cs="Times New Roman"/>
              </w:rPr>
            </w:pPr>
            <w:r w:rsidRPr="00AF2524">
              <w:rPr>
                <w:rFonts w:ascii="Times New Roman" w:hAnsi="Times New Roman" w:cs="Times New Roman"/>
              </w:rPr>
              <w:t>Oncor</w:t>
            </w:r>
          </w:p>
        </w:tc>
        <w:tc>
          <w:tcPr>
            <w:tcW w:w="2340" w:type="dxa"/>
          </w:tcPr>
          <w:p w14:paraId="04D806CA" w14:textId="0EB942D7" w:rsidR="0051504B" w:rsidRPr="00AF2524" w:rsidRDefault="004D40FF" w:rsidP="007A133F">
            <w:pPr>
              <w:keepNext/>
              <w:spacing w:after="120"/>
              <w:jc w:val="center"/>
              <w:rPr>
                <w:rFonts w:ascii="Times New Roman" w:hAnsi="Times New Roman" w:cs="Times New Roman"/>
              </w:rPr>
            </w:pPr>
            <w:r>
              <w:rPr>
                <w:rFonts w:ascii="Times New Roman" w:hAnsi="Times New Roman" w:cs="Times New Roman"/>
              </w:rPr>
              <w:t>$18.58</w:t>
            </w:r>
          </w:p>
        </w:tc>
        <w:tc>
          <w:tcPr>
            <w:tcW w:w="2340" w:type="dxa"/>
          </w:tcPr>
          <w:p w14:paraId="6E892462" w14:textId="685CE262" w:rsidR="0051504B" w:rsidRPr="00AF2524" w:rsidRDefault="00EB229D" w:rsidP="007A133F">
            <w:pPr>
              <w:keepNext/>
              <w:spacing w:after="120"/>
              <w:jc w:val="center"/>
              <w:rPr>
                <w:rFonts w:ascii="Times New Roman" w:hAnsi="Times New Roman" w:cs="Times New Roman"/>
              </w:rPr>
            </w:pPr>
            <w:r>
              <w:rPr>
                <w:rFonts w:ascii="Times New Roman" w:hAnsi="Times New Roman" w:cs="Times New Roman"/>
              </w:rPr>
              <w:t>$18.</w:t>
            </w:r>
            <w:r w:rsidR="00047B7E">
              <w:rPr>
                <w:rFonts w:ascii="Times New Roman" w:hAnsi="Times New Roman" w:cs="Times New Roman"/>
              </w:rPr>
              <w:t>58</w:t>
            </w:r>
          </w:p>
        </w:tc>
      </w:tr>
      <w:tr w:rsidR="0051504B" w:rsidRPr="00AF2524" w14:paraId="038F39E7" w14:textId="77777777" w:rsidTr="007A133F">
        <w:trPr>
          <w:jc w:val="center"/>
        </w:trPr>
        <w:tc>
          <w:tcPr>
            <w:tcW w:w="1705" w:type="dxa"/>
          </w:tcPr>
          <w:p w14:paraId="0FB76714" w14:textId="77777777" w:rsidR="0051504B" w:rsidRPr="00AF2524" w:rsidRDefault="0051504B" w:rsidP="007A133F">
            <w:pPr>
              <w:keepNext/>
              <w:rPr>
                <w:rFonts w:ascii="Times New Roman" w:hAnsi="Times New Roman" w:cs="Times New Roman"/>
              </w:rPr>
            </w:pPr>
            <w:proofErr w:type="spellStart"/>
            <w:r w:rsidRPr="00AF2524">
              <w:rPr>
                <w:rFonts w:ascii="Times New Roman" w:hAnsi="Times New Roman" w:cs="Times New Roman"/>
              </w:rPr>
              <w:t>TNMP</w:t>
            </w:r>
            <w:proofErr w:type="spellEnd"/>
          </w:p>
        </w:tc>
        <w:tc>
          <w:tcPr>
            <w:tcW w:w="2340" w:type="dxa"/>
          </w:tcPr>
          <w:p w14:paraId="09FA3306" w14:textId="25AFB63B" w:rsidR="0051504B" w:rsidRPr="00AF2524" w:rsidRDefault="004D40FF" w:rsidP="007A133F">
            <w:pPr>
              <w:keepNext/>
              <w:spacing w:after="120"/>
              <w:jc w:val="center"/>
              <w:rPr>
                <w:rFonts w:ascii="Times New Roman" w:hAnsi="Times New Roman" w:cs="Times New Roman"/>
              </w:rPr>
            </w:pPr>
            <w:r>
              <w:rPr>
                <w:rFonts w:ascii="Times New Roman" w:hAnsi="Times New Roman" w:cs="Times New Roman"/>
              </w:rPr>
              <w:t>$</w:t>
            </w:r>
            <w:r w:rsidR="00EB229D">
              <w:rPr>
                <w:rFonts w:ascii="Times New Roman" w:hAnsi="Times New Roman" w:cs="Times New Roman"/>
              </w:rPr>
              <w:t>28.</w:t>
            </w:r>
            <w:r w:rsidR="00A16994">
              <w:rPr>
                <w:rFonts w:ascii="Times New Roman" w:hAnsi="Times New Roman" w:cs="Times New Roman"/>
              </w:rPr>
              <w:t>75</w:t>
            </w:r>
          </w:p>
        </w:tc>
        <w:tc>
          <w:tcPr>
            <w:tcW w:w="2340" w:type="dxa"/>
          </w:tcPr>
          <w:p w14:paraId="5E842EF7" w14:textId="27EB9145" w:rsidR="0051504B" w:rsidRPr="00AF2524" w:rsidRDefault="00EB229D" w:rsidP="007A133F">
            <w:pPr>
              <w:keepNext/>
              <w:spacing w:after="120"/>
              <w:jc w:val="center"/>
              <w:rPr>
                <w:rFonts w:ascii="Times New Roman" w:hAnsi="Times New Roman" w:cs="Times New Roman"/>
              </w:rPr>
            </w:pPr>
            <w:r>
              <w:rPr>
                <w:rFonts w:ascii="Times New Roman" w:hAnsi="Times New Roman" w:cs="Times New Roman"/>
              </w:rPr>
              <w:t>$18.</w:t>
            </w:r>
            <w:r w:rsidR="00047B7E">
              <w:rPr>
                <w:rFonts w:ascii="Times New Roman" w:hAnsi="Times New Roman" w:cs="Times New Roman"/>
              </w:rPr>
              <w:t>74</w:t>
            </w:r>
          </w:p>
        </w:tc>
      </w:tr>
      <w:tr w:rsidR="0051504B" w:rsidRPr="00AF2524" w14:paraId="1D8CB781" w14:textId="77777777" w:rsidTr="007A133F">
        <w:trPr>
          <w:jc w:val="center"/>
        </w:trPr>
        <w:tc>
          <w:tcPr>
            <w:tcW w:w="1705" w:type="dxa"/>
          </w:tcPr>
          <w:p w14:paraId="28ACF59D" w14:textId="21611F7C" w:rsidR="0051504B" w:rsidRPr="00AF2524" w:rsidRDefault="0051504B" w:rsidP="00D12B53">
            <w:pPr>
              <w:rPr>
                <w:rFonts w:ascii="Times New Roman" w:hAnsi="Times New Roman" w:cs="Times New Roman"/>
              </w:rPr>
            </w:pPr>
            <w:r w:rsidRPr="00AF2524">
              <w:rPr>
                <w:rFonts w:ascii="Times New Roman" w:hAnsi="Times New Roman" w:cs="Times New Roman"/>
              </w:rPr>
              <w:t>ERS</w:t>
            </w:r>
            <w:r w:rsidR="00B85142" w:rsidRPr="00AF2524">
              <w:rPr>
                <w:rStyle w:val="FootnoteReference"/>
                <w:rFonts w:ascii="Times New Roman" w:hAnsi="Times New Roman" w:cs="Times New Roman"/>
              </w:rPr>
              <w:footnoteReference w:id="7"/>
            </w:r>
          </w:p>
        </w:tc>
        <w:tc>
          <w:tcPr>
            <w:tcW w:w="2340" w:type="dxa"/>
          </w:tcPr>
          <w:p w14:paraId="0E573F56" w14:textId="2828E8A7" w:rsidR="0051504B" w:rsidRPr="00AF2524" w:rsidRDefault="0051504B" w:rsidP="00047B7E">
            <w:pPr>
              <w:spacing w:after="120"/>
              <w:jc w:val="center"/>
              <w:rPr>
                <w:rFonts w:ascii="Times New Roman" w:hAnsi="Times New Roman" w:cs="Times New Roman"/>
              </w:rPr>
            </w:pPr>
            <w:r w:rsidRPr="00AF2524">
              <w:rPr>
                <w:rFonts w:ascii="Times New Roman" w:hAnsi="Times New Roman" w:cs="Times New Roman"/>
              </w:rPr>
              <w:t>$9.65</w:t>
            </w:r>
          </w:p>
        </w:tc>
        <w:tc>
          <w:tcPr>
            <w:tcW w:w="2340" w:type="dxa"/>
          </w:tcPr>
          <w:p w14:paraId="44257BAB" w14:textId="77777777" w:rsidR="0051504B" w:rsidRPr="00AF2524" w:rsidRDefault="0051504B" w:rsidP="00047B7E">
            <w:pPr>
              <w:spacing w:after="120"/>
              <w:jc w:val="center"/>
              <w:rPr>
                <w:rFonts w:ascii="Times New Roman" w:hAnsi="Times New Roman" w:cs="Times New Roman"/>
              </w:rPr>
            </w:pPr>
            <w:r w:rsidRPr="00AF2524">
              <w:rPr>
                <w:rFonts w:ascii="Times New Roman" w:hAnsi="Times New Roman" w:cs="Times New Roman"/>
              </w:rPr>
              <w:t>$9.65</w:t>
            </w:r>
          </w:p>
        </w:tc>
      </w:tr>
    </w:tbl>
    <w:p w14:paraId="1E938C89" w14:textId="77777777" w:rsidR="0051504B" w:rsidRDefault="0051504B" w:rsidP="00324CE8">
      <w:pPr>
        <w:spacing w:after="160" w:line="256" w:lineRule="auto"/>
        <w:jc w:val="both"/>
        <w:rPr>
          <w:rFonts w:eastAsia="Calibri"/>
          <w:szCs w:val="24"/>
        </w:rPr>
      </w:pPr>
    </w:p>
    <w:p w14:paraId="52127B4B" w14:textId="7992B688" w:rsidR="00281EE0" w:rsidRDefault="006E0DCF" w:rsidP="008048F4">
      <w:pPr>
        <w:pStyle w:val="Heading1"/>
      </w:pPr>
      <w:r>
        <w:t>Recommendation</w:t>
      </w:r>
    </w:p>
    <w:p w14:paraId="0C7187DB" w14:textId="7BC8E124" w:rsidR="008048F4" w:rsidRDefault="00367E89" w:rsidP="000F1F2C">
      <w:pPr>
        <w:jc w:val="both"/>
      </w:pPr>
      <w:r>
        <w:t>T</w:t>
      </w:r>
      <w:r w:rsidRPr="00367E89">
        <w:t>he cost benefit and design of the</w:t>
      </w:r>
      <w:r w:rsidR="00704280">
        <w:t>se</w:t>
      </w:r>
      <w:r w:rsidRPr="00367E89">
        <w:t xml:space="preserve"> programs needs to be evaluated in the scope of other load programs available to ERCOT. </w:t>
      </w:r>
      <w:r w:rsidR="000F1F2C" w:rsidRPr="000F1F2C">
        <w:t xml:space="preserve">If these programs continue, </w:t>
      </w:r>
      <w:r w:rsidR="008A54D0">
        <w:t xml:space="preserve">Commission Staff recommends that the Participating Utilities coordinate with ERCOT to </w:t>
      </w:r>
      <w:r w:rsidR="008A54D0" w:rsidRPr="000F1F2C">
        <w:t>address the lessons learned from the</w:t>
      </w:r>
      <w:r w:rsidR="00C30B46">
        <w:t xml:space="preserve">ir </w:t>
      </w:r>
      <w:r w:rsidR="008A54D0" w:rsidRPr="000F1F2C">
        <w:t>interim program</w:t>
      </w:r>
      <w:r w:rsidR="00C30B46">
        <w:t>s</w:t>
      </w:r>
      <w:r w:rsidR="008A54D0" w:rsidRPr="000F1F2C">
        <w:t xml:space="preserve"> to improve the cost benefit and program design.</w:t>
      </w:r>
      <w:r w:rsidR="008A54D0">
        <w:t xml:space="preserve"> </w:t>
      </w:r>
    </w:p>
    <w:p w14:paraId="09D04A35" w14:textId="77777777" w:rsidR="008048F4" w:rsidRDefault="008048F4" w:rsidP="00281EE0"/>
    <w:sectPr w:rsidR="008048F4" w:rsidSect="00D126BB">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E57D2" w14:textId="77777777" w:rsidR="009B1B53" w:rsidRDefault="009B1B53">
      <w:r>
        <w:separator/>
      </w:r>
    </w:p>
  </w:endnote>
  <w:endnote w:type="continuationSeparator" w:id="0">
    <w:p w14:paraId="5007E20A" w14:textId="77777777" w:rsidR="009B1B53" w:rsidRDefault="009B1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E6DE" w14:textId="77777777" w:rsidR="008E3872" w:rsidRDefault="008E3872">
    <w:pPr>
      <w:pStyle w:val="Footer"/>
    </w:pPr>
    <w:r>
      <w:rPr>
        <w:snapToGrid w:val="0"/>
      </w:rPr>
      <w:tab/>
      <w:t xml:space="preserve">Page </w:t>
    </w:r>
    <w:r>
      <w:rPr>
        <w:snapToGrid w:val="0"/>
      </w:rPr>
      <w:fldChar w:fldCharType="begin"/>
    </w:r>
    <w:r>
      <w:rPr>
        <w:snapToGrid w:val="0"/>
      </w:rPr>
      <w:instrText xml:space="preserve"> PAGE </w:instrText>
    </w:r>
    <w:r>
      <w:rPr>
        <w:snapToGrid w:val="0"/>
      </w:rPr>
      <w:fldChar w:fldCharType="separate"/>
    </w:r>
    <w:r w:rsidR="004F4207">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4F4207">
      <w:rPr>
        <w:noProof/>
        <w:snapToGrid w:val="0"/>
      </w:rPr>
      <w:t>1</w:t>
    </w:r>
    <w:r>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21819" w14:textId="77777777" w:rsidR="009B1B53" w:rsidRDefault="009B1B53">
      <w:r>
        <w:separator/>
      </w:r>
    </w:p>
  </w:footnote>
  <w:footnote w:type="continuationSeparator" w:id="0">
    <w:p w14:paraId="72A20D93" w14:textId="77777777" w:rsidR="009B1B53" w:rsidRDefault="009B1B53">
      <w:r>
        <w:continuationSeparator/>
      </w:r>
    </w:p>
  </w:footnote>
  <w:footnote w:id="1">
    <w:p w14:paraId="6FECB827" w14:textId="6277AED6" w:rsidR="002929FD" w:rsidRDefault="002929FD" w:rsidP="002929FD">
      <w:pPr>
        <w:pStyle w:val="FootnoteText"/>
      </w:pPr>
      <w:r>
        <w:rPr>
          <w:rStyle w:val="FootnoteReference"/>
        </w:rPr>
        <w:footnoteRef/>
      </w:r>
      <w:r>
        <w:t xml:space="preserve"> The settlement agreement was also signed by </w:t>
      </w:r>
      <w:r w:rsidR="001C4CE2">
        <w:t>the Alliance for Retail Markets</w:t>
      </w:r>
      <w:r w:rsidR="00450D66">
        <w:t xml:space="preserve"> and Commission Staff</w:t>
      </w:r>
      <w:r>
        <w:t>.</w:t>
      </w:r>
    </w:p>
  </w:footnote>
  <w:footnote w:id="2">
    <w:p w14:paraId="1A96E65C" w14:textId="354CAD3E" w:rsidR="001F5EA8" w:rsidRDefault="001F5EA8" w:rsidP="001F5EA8">
      <w:pPr>
        <w:pStyle w:val="FootnoteText"/>
      </w:pPr>
      <w:r>
        <w:rPr>
          <w:rStyle w:val="FootnoteReference"/>
        </w:rPr>
        <w:footnoteRef/>
      </w:r>
      <w:r>
        <w:t xml:space="preserve"> </w:t>
      </w:r>
      <w:r w:rsidR="002B60B7">
        <w:t xml:space="preserve">Even though </w:t>
      </w:r>
      <w:r>
        <w:t xml:space="preserve">Oncor </w:t>
      </w:r>
      <w:r w:rsidR="002B60B7">
        <w:t>did not join the Petition or intervene in</w:t>
      </w:r>
      <w:r w:rsidR="00CD6BE5">
        <w:t xml:space="preserve"> </w:t>
      </w:r>
      <w:r w:rsidR="002B60B7">
        <w:t xml:space="preserve">this proceeding, it was </w:t>
      </w:r>
      <w:r>
        <w:t>included in the final order</w:t>
      </w:r>
      <w:r w:rsidR="002B60B7">
        <w:t>.</w:t>
      </w:r>
    </w:p>
  </w:footnote>
  <w:footnote w:id="3">
    <w:p w14:paraId="3EA5108C" w14:textId="77777777" w:rsidR="00974E69" w:rsidRDefault="00974E69" w:rsidP="00D65280">
      <w:pPr>
        <w:pStyle w:val="FootnoteText"/>
      </w:pPr>
      <w:r>
        <w:rPr>
          <w:rStyle w:val="FootnoteReference"/>
        </w:rPr>
        <w:footnoteRef/>
      </w:r>
      <w:r>
        <w:t xml:space="preserve"> CenterPoint expressed its goal as between 100 MW and 150 MW.</w:t>
      </w:r>
    </w:p>
  </w:footnote>
  <w:footnote w:id="4">
    <w:p w14:paraId="058B1D67" w14:textId="77777777" w:rsidR="00974E69" w:rsidRDefault="00974E69" w:rsidP="00974E69">
      <w:pPr>
        <w:pStyle w:val="FootnoteText"/>
      </w:pPr>
      <w:r>
        <w:rPr>
          <w:rStyle w:val="FootnoteReference"/>
        </w:rPr>
        <w:footnoteRef/>
      </w:r>
      <w:r>
        <w:t xml:space="preserve"> The programs were all scheduled to begin on December 1, </w:t>
      </w:r>
      <w:proofErr w:type="gramStart"/>
      <w:r>
        <w:t>2021</w:t>
      </w:r>
      <w:proofErr w:type="gramEnd"/>
      <w:r>
        <w:t xml:space="preserve"> but had different actual start dates. All programs ended on February 28, 2022.</w:t>
      </w:r>
    </w:p>
  </w:footnote>
  <w:footnote w:id="5">
    <w:p w14:paraId="63C50FFC" w14:textId="038E2698" w:rsidR="00465D0F" w:rsidRDefault="00465D0F">
      <w:pPr>
        <w:pStyle w:val="FootnoteText"/>
      </w:pPr>
      <w:r>
        <w:rPr>
          <w:rStyle w:val="FootnoteReference"/>
        </w:rPr>
        <w:footnoteRef/>
      </w:r>
      <w:r>
        <w:t xml:space="preserve"> This value was provided in </w:t>
      </w:r>
      <w:r w:rsidRPr="00465D0F">
        <w:t>ERCOT’s Response to Commissioner Request for Information Concerning Utility Load Management Program Proposals</w:t>
      </w:r>
      <w:r>
        <w:t xml:space="preserve">, filed in this </w:t>
      </w:r>
      <w:r w:rsidR="00920008">
        <w:t>docket</w:t>
      </w:r>
      <w:r>
        <w:t xml:space="preserve"> on </w:t>
      </w:r>
      <w:r w:rsidRPr="00465D0F">
        <w:t>November 29, 2021.</w:t>
      </w:r>
    </w:p>
  </w:footnote>
  <w:footnote w:id="6">
    <w:p w14:paraId="36F870C4" w14:textId="06475067" w:rsidR="00CD6BE5" w:rsidRDefault="00CD6BE5">
      <w:pPr>
        <w:pStyle w:val="FootnoteText"/>
      </w:pPr>
      <w:r>
        <w:rPr>
          <w:rStyle w:val="FootnoteReference"/>
        </w:rPr>
        <w:footnoteRef/>
      </w:r>
      <w:r>
        <w:t xml:space="preserve"> Actual start dates shown above on page 2.</w:t>
      </w:r>
    </w:p>
  </w:footnote>
  <w:footnote w:id="7">
    <w:p w14:paraId="2601A1B4" w14:textId="507FD73E" w:rsidR="00B85142" w:rsidRDefault="00B85142" w:rsidP="00683E7C">
      <w:pPr>
        <w:pStyle w:val="FootnoteText"/>
        <w:jc w:val="both"/>
      </w:pPr>
      <w:r>
        <w:rPr>
          <w:rStyle w:val="FootnoteReference"/>
        </w:rPr>
        <w:footnoteRef/>
      </w:r>
      <w:r w:rsidR="000F2562">
        <w:t xml:space="preserve"> </w:t>
      </w:r>
      <w:r w:rsidR="000F2562" w:rsidRPr="000F2562">
        <w:t>ERS costs include an additional $5M beyond the amount originally budgeted for ERS from December</w:t>
      </w:r>
      <w:r w:rsidR="00683E7C">
        <w:t> </w:t>
      </w:r>
      <w:r w:rsidR="000F2562" w:rsidRPr="000F2562">
        <w:t xml:space="preserve">2021 to March 2022, as directed by the Commissioners. </w:t>
      </w:r>
      <w:r w:rsidR="006E6E26" w:rsidRPr="006E6E26">
        <w:rPr>
          <w:i/>
          <w:iCs/>
        </w:rPr>
        <w:t>See</w:t>
      </w:r>
      <w:r w:rsidR="006E6E26">
        <w:t xml:space="preserve"> </w:t>
      </w:r>
      <w:r w:rsidR="00E84223">
        <w:t>Work Session at 2:</w:t>
      </w:r>
      <w:r w:rsidR="005B0371">
        <w:t>00</w:t>
      </w:r>
      <w:r w:rsidR="00E84223">
        <w:t>:</w:t>
      </w:r>
      <w:r w:rsidR="005B0371">
        <w:t>24</w:t>
      </w:r>
      <w:r w:rsidR="00E84223">
        <w:t xml:space="preserve"> </w:t>
      </w:r>
      <w:r w:rsidR="00D27805">
        <w:t xml:space="preserve">(Nov. </w:t>
      </w:r>
      <w:r w:rsidR="006E6E26">
        <w:t xml:space="preserve">4, 2021) </w:t>
      </w:r>
      <w:r w:rsidR="00E84223">
        <w:t xml:space="preserve">(available at </w:t>
      </w:r>
      <w:hyperlink r:id="rId1" w:anchor="t=7200" w:history="1">
        <w:r w:rsidR="00A61382" w:rsidRPr="0002499A">
          <w:rPr>
            <w:rStyle w:val="Hyperlink"/>
          </w:rPr>
          <w:t>https://texasadmin.com/tx/puct/work_session/20211104#t=7200</w:t>
        </w:r>
      </w:hyperlink>
      <w:r w:rsidR="00A61382">
        <w:t>)</w:t>
      </w:r>
      <w:r w:rsidR="00D27805">
        <w:t>.</w:t>
      </w:r>
      <w:r w:rsidR="00A61382">
        <w:t xml:space="preserve"> </w:t>
      </w:r>
      <w:r w:rsidR="00047B7E">
        <w:t>Although ERS runs through March 31, 2022, the Cost per MW per hour is not expected to be materially different from a similar program ending February 28,</w:t>
      </w:r>
      <w:r w:rsidR="00683E7C">
        <w:t> </w:t>
      </w:r>
      <w:r w:rsidR="00047B7E">
        <w:t>2022.</w:t>
      </w:r>
      <w:r w:rsidR="00D218A2" w:rsidRPr="00D218A2">
        <w:t xml:space="preserve"> Final ERS cost figures for the December 2021 to March 2022 Standard Contract Term will not be available until mid-June.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D703A" w14:textId="77777777" w:rsidR="008E3872" w:rsidRDefault="008E3872">
    <w:pPr>
      <w:pStyle w:val="Header"/>
      <w:jc w:val="center"/>
      <w:rPr>
        <w:b/>
        <w:i/>
        <w:sz w:val="38"/>
      </w:rPr>
    </w:pPr>
    <w:r>
      <w:rPr>
        <w:b/>
        <w:i/>
        <w:sz w:val="38"/>
      </w:rPr>
      <w:t xml:space="preserve">Public Utility Commission of </w:t>
    </w:r>
    <w:smartTag w:uri="urn:schemas-microsoft-com:office:smarttags" w:element="State">
      <w:smartTag w:uri="urn:schemas-microsoft-com:office:smarttags" w:element="place">
        <w:r>
          <w:rPr>
            <w:b/>
            <w:i/>
            <w:sz w:val="38"/>
          </w:rPr>
          <w:t>Texas</w:t>
        </w:r>
      </w:smartTag>
    </w:smartTag>
  </w:p>
  <w:p w14:paraId="6D572DDF" w14:textId="77777777" w:rsidR="008E3872" w:rsidRDefault="008E3872">
    <w:pPr>
      <w:pStyle w:val="Header"/>
      <w:tabs>
        <w:tab w:val="clear" w:pos="4320"/>
        <w:tab w:val="left" w:pos="1800"/>
        <w:tab w:val="left" w:pos="6840"/>
      </w:tabs>
      <w:spacing w:before="120" w:after="120"/>
      <w:rPr>
        <w:b/>
        <w:sz w:val="12"/>
      </w:rPr>
    </w:pPr>
    <w:r>
      <w:rPr>
        <w:b/>
        <w:sz w:val="12"/>
      </w:rPr>
      <w:tab/>
    </w:r>
    <w:r>
      <w:rPr>
        <w:b/>
        <w:sz w:val="12"/>
        <w:u w:val="single"/>
      </w:rPr>
      <w:tab/>
    </w:r>
  </w:p>
  <w:p w14:paraId="4487A4D2" w14:textId="77777777" w:rsidR="008E3872" w:rsidRDefault="008E3872" w:rsidP="003E5B27">
    <w:pPr>
      <w:pStyle w:val="Header"/>
      <w:tabs>
        <w:tab w:val="left" w:pos="1980"/>
        <w:tab w:val="left" w:pos="6750"/>
      </w:tabs>
      <w:spacing w:after="240"/>
      <w:jc w:val="center"/>
      <w:rPr>
        <w:b/>
        <w:sz w:val="38"/>
      </w:rPr>
    </w:pPr>
    <w:r>
      <w:rPr>
        <w:b/>
        <w:sz w:val="38"/>
      </w:rPr>
      <w:t>Memorandum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7147"/>
    <w:multiLevelType w:val="hybridMultilevel"/>
    <w:tmpl w:val="B7720504"/>
    <w:lvl w:ilvl="0" w:tplc="230CDB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165247"/>
    <w:multiLevelType w:val="hybridMultilevel"/>
    <w:tmpl w:val="0E3C5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F066FD"/>
    <w:multiLevelType w:val="hybridMultilevel"/>
    <w:tmpl w:val="6E368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484E0E"/>
    <w:multiLevelType w:val="hybridMultilevel"/>
    <w:tmpl w:val="D0583C8E"/>
    <w:lvl w:ilvl="0" w:tplc="17BE47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388675D"/>
    <w:multiLevelType w:val="hybridMultilevel"/>
    <w:tmpl w:val="30D814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4365054">
    <w:abstractNumId w:val="2"/>
  </w:num>
  <w:num w:numId="2" w16cid:durableId="1764913476">
    <w:abstractNumId w:val="4"/>
  </w:num>
  <w:num w:numId="3" w16cid:durableId="1686664938">
    <w:abstractNumId w:val="0"/>
  </w:num>
  <w:num w:numId="4" w16cid:durableId="1953972046">
    <w:abstractNumId w:val="3"/>
  </w:num>
  <w:num w:numId="5" w16cid:durableId="19940678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6FC"/>
    <w:rsid w:val="0002195E"/>
    <w:rsid w:val="00034565"/>
    <w:rsid w:val="00044036"/>
    <w:rsid w:val="00044DB8"/>
    <w:rsid w:val="000468D5"/>
    <w:rsid w:val="000472E9"/>
    <w:rsid w:val="00047B7E"/>
    <w:rsid w:val="00056F29"/>
    <w:rsid w:val="00080B1D"/>
    <w:rsid w:val="00093A0A"/>
    <w:rsid w:val="000A5513"/>
    <w:rsid w:val="000F11CE"/>
    <w:rsid w:val="000F1F2C"/>
    <w:rsid w:val="000F2562"/>
    <w:rsid w:val="0010791C"/>
    <w:rsid w:val="00122DB1"/>
    <w:rsid w:val="00147045"/>
    <w:rsid w:val="00172357"/>
    <w:rsid w:val="0018007F"/>
    <w:rsid w:val="001A4F04"/>
    <w:rsid w:val="001B2E0A"/>
    <w:rsid w:val="001B7DAC"/>
    <w:rsid w:val="001C4CE2"/>
    <w:rsid w:val="001E69AC"/>
    <w:rsid w:val="001F5EA8"/>
    <w:rsid w:val="0022283E"/>
    <w:rsid w:val="00270EC6"/>
    <w:rsid w:val="00281EE0"/>
    <w:rsid w:val="002929FD"/>
    <w:rsid w:val="002B2A3F"/>
    <w:rsid w:val="002B60B7"/>
    <w:rsid w:val="002C5195"/>
    <w:rsid w:val="002D73E3"/>
    <w:rsid w:val="002D7980"/>
    <w:rsid w:val="002E69F0"/>
    <w:rsid w:val="002F2950"/>
    <w:rsid w:val="002F44F8"/>
    <w:rsid w:val="00313B39"/>
    <w:rsid w:val="00324CE8"/>
    <w:rsid w:val="00346920"/>
    <w:rsid w:val="00353A18"/>
    <w:rsid w:val="00367E89"/>
    <w:rsid w:val="00383362"/>
    <w:rsid w:val="003B2E54"/>
    <w:rsid w:val="003B66E8"/>
    <w:rsid w:val="003E33CD"/>
    <w:rsid w:val="003E36E5"/>
    <w:rsid w:val="003E5B27"/>
    <w:rsid w:val="003F5FC8"/>
    <w:rsid w:val="004072A4"/>
    <w:rsid w:val="0042390B"/>
    <w:rsid w:val="0043336E"/>
    <w:rsid w:val="00436778"/>
    <w:rsid w:val="00450D66"/>
    <w:rsid w:val="00453918"/>
    <w:rsid w:val="00465D0F"/>
    <w:rsid w:val="00466906"/>
    <w:rsid w:val="00467516"/>
    <w:rsid w:val="00476DF1"/>
    <w:rsid w:val="0049664C"/>
    <w:rsid w:val="004B0489"/>
    <w:rsid w:val="004C05BA"/>
    <w:rsid w:val="004C45AC"/>
    <w:rsid w:val="004D40FF"/>
    <w:rsid w:val="004F4207"/>
    <w:rsid w:val="005033F0"/>
    <w:rsid w:val="00505E20"/>
    <w:rsid w:val="00513934"/>
    <w:rsid w:val="0051504B"/>
    <w:rsid w:val="0052372E"/>
    <w:rsid w:val="005337C3"/>
    <w:rsid w:val="005402B8"/>
    <w:rsid w:val="00573F0E"/>
    <w:rsid w:val="0059211B"/>
    <w:rsid w:val="00597B26"/>
    <w:rsid w:val="005A080A"/>
    <w:rsid w:val="005B0371"/>
    <w:rsid w:val="005B64EE"/>
    <w:rsid w:val="005C382D"/>
    <w:rsid w:val="005E02C5"/>
    <w:rsid w:val="005E459E"/>
    <w:rsid w:val="005F0224"/>
    <w:rsid w:val="005F471D"/>
    <w:rsid w:val="005F5ABB"/>
    <w:rsid w:val="005F6786"/>
    <w:rsid w:val="006139D1"/>
    <w:rsid w:val="006161D5"/>
    <w:rsid w:val="006416A3"/>
    <w:rsid w:val="00657ACB"/>
    <w:rsid w:val="00667258"/>
    <w:rsid w:val="00673248"/>
    <w:rsid w:val="00683E7C"/>
    <w:rsid w:val="006A4782"/>
    <w:rsid w:val="006C0AC4"/>
    <w:rsid w:val="006C233F"/>
    <w:rsid w:val="006E0DCF"/>
    <w:rsid w:val="006E6E26"/>
    <w:rsid w:val="006F3CC4"/>
    <w:rsid w:val="006F3EB8"/>
    <w:rsid w:val="00704280"/>
    <w:rsid w:val="00711283"/>
    <w:rsid w:val="00732686"/>
    <w:rsid w:val="0074662B"/>
    <w:rsid w:val="00761EE2"/>
    <w:rsid w:val="007749D5"/>
    <w:rsid w:val="007832B9"/>
    <w:rsid w:val="007A133F"/>
    <w:rsid w:val="007B06CE"/>
    <w:rsid w:val="007B6EC3"/>
    <w:rsid w:val="007C6813"/>
    <w:rsid w:val="007E4AAD"/>
    <w:rsid w:val="007E555C"/>
    <w:rsid w:val="007E7A7A"/>
    <w:rsid w:val="007F47B0"/>
    <w:rsid w:val="008048F4"/>
    <w:rsid w:val="0081203F"/>
    <w:rsid w:val="00821886"/>
    <w:rsid w:val="00833F57"/>
    <w:rsid w:val="00845FE6"/>
    <w:rsid w:val="00863CDD"/>
    <w:rsid w:val="0088133C"/>
    <w:rsid w:val="008A54D0"/>
    <w:rsid w:val="008A5CCA"/>
    <w:rsid w:val="008C38C0"/>
    <w:rsid w:val="008C4D7D"/>
    <w:rsid w:val="008D1A94"/>
    <w:rsid w:val="008E3872"/>
    <w:rsid w:val="009031D3"/>
    <w:rsid w:val="009056FC"/>
    <w:rsid w:val="00916792"/>
    <w:rsid w:val="00920008"/>
    <w:rsid w:val="0092338B"/>
    <w:rsid w:val="0093105C"/>
    <w:rsid w:val="00947F9E"/>
    <w:rsid w:val="0096463A"/>
    <w:rsid w:val="00967F9B"/>
    <w:rsid w:val="00974742"/>
    <w:rsid w:val="00974E69"/>
    <w:rsid w:val="0098197C"/>
    <w:rsid w:val="009825B5"/>
    <w:rsid w:val="0099607F"/>
    <w:rsid w:val="009A099F"/>
    <w:rsid w:val="009A7065"/>
    <w:rsid w:val="009B1B53"/>
    <w:rsid w:val="009B366F"/>
    <w:rsid w:val="009D17E4"/>
    <w:rsid w:val="009D5173"/>
    <w:rsid w:val="009D6E69"/>
    <w:rsid w:val="00A16994"/>
    <w:rsid w:val="00A33E4D"/>
    <w:rsid w:val="00A61382"/>
    <w:rsid w:val="00A7445A"/>
    <w:rsid w:val="00A74E5A"/>
    <w:rsid w:val="00A93C38"/>
    <w:rsid w:val="00AE2480"/>
    <w:rsid w:val="00AF2524"/>
    <w:rsid w:val="00AF2E32"/>
    <w:rsid w:val="00B44030"/>
    <w:rsid w:val="00B612EA"/>
    <w:rsid w:val="00B85142"/>
    <w:rsid w:val="00BA5F4D"/>
    <w:rsid w:val="00BB3161"/>
    <w:rsid w:val="00BC0C63"/>
    <w:rsid w:val="00BC1B36"/>
    <w:rsid w:val="00BD1586"/>
    <w:rsid w:val="00C0055E"/>
    <w:rsid w:val="00C1058F"/>
    <w:rsid w:val="00C30B46"/>
    <w:rsid w:val="00C4347E"/>
    <w:rsid w:val="00C90D29"/>
    <w:rsid w:val="00CD6BE5"/>
    <w:rsid w:val="00D126BB"/>
    <w:rsid w:val="00D1665B"/>
    <w:rsid w:val="00D218A2"/>
    <w:rsid w:val="00D27805"/>
    <w:rsid w:val="00D41F0C"/>
    <w:rsid w:val="00D65280"/>
    <w:rsid w:val="00D6737C"/>
    <w:rsid w:val="00D70E7D"/>
    <w:rsid w:val="00DA2AE1"/>
    <w:rsid w:val="00DB7914"/>
    <w:rsid w:val="00DD4FBC"/>
    <w:rsid w:val="00DE0C3F"/>
    <w:rsid w:val="00DF3F00"/>
    <w:rsid w:val="00E16DF4"/>
    <w:rsid w:val="00E2231C"/>
    <w:rsid w:val="00E45771"/>
    <w:rsid w:val="00E55AC9"/>
    <w:rsid w:val="00E62246"/>
    <w:rsid w:val="00E642CB"/>
    <w:rsid w:val="00E64583"/>
    <w:rsid w:val="00E76936"/>
    <w:rsid w:val="00E8394C"/>
    <w:rsid w:val="00E84223"/>
    <w:rsid w:val="00EA2525"/>
    <w:rsid w:val="00EB229D"/>
    <w:rsid w:val="00EB33F6"/>
    <w:rsid w:val="00EC0FC3"/>
    <w:rsid w:val="00EE08A3"/>
    <w:rsid w:val="00EE342B"/>
    <w:rsid w:val="00EE6EF7"/>
    <w:rsid w:val="00EF0501"/>
    <w:rsid w:val="00EF49A6"/>
    <w:rsid w:val="00F023E7"/>
    <w:rsid w:val="00F40D8B"/>
    <w:rsid w:val="00F4580B"/>
    <w:rsid w:val="00F54886"/>
    <w:rsid w:val="00F72D93"/>
    <w:rsid w:val="00FC11BD"/>
    <w:rsid w:val="00FD719A"/>
    <w:rsid w:val="00FF3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6145"/>
    <o:shapelayout v:ext="edit">
      <o:idmap v:ext="edit" data="1"/>
    </o:shapelayout>
  </w:shapeDefaults>
  <w:decimalSymbol w:val="."/>
  <w:listSeparator w:val=","/>
  <w14:docId w14:val="7E1E60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04B"/>
    <w:rPr>
      <w:sz w:val="24"/>
    </w:rPr>
  </w:style>
  <w:style w:type="paragraph" w:styleId="Heading1">
    <w:name w:val="heading 1"/>
    <w:basedOn w:val="Normal"/>
    <w:next w:val="Normal"/>
    <w:qFormat/>
    <w:rsid w:val="002929FD"/>
    <w:pPr>
      <w:keepNext/>
      <w:tabs>
        <w:tab w:val="left" w:pos="1170"/>
      </w:tabs>
      <w:spacing w:after="240"/>
      <w:outlineLvl w:val="0"/>
    </w:pPr>
    <w:rPr>
      <w:b/>
      <w:bCs/>
    </w:rPr>
  </w:style>
  <w:style w:type="paragraph" w:styleId="Heading2">
    <w:name w:val="heading 2"/>
    <w:basedOn w:val="Normal"/>
    <w:next w:val="Normal"/>
    <w:qFormat/>
    <w:pPr>
      <w:keepNext/>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1170"/>
      </w:tabs>
      <w:jc w:val="both"/>
    </w:pPr>
  </w:style>
  <w:style w:type="paragraph" w:styleId="BalloonText">
    <w:name w:val="Balloon Text"/>
    <w:basedOn w:val="Normal"/>
    <w:link w:val="BalloonTextChar"/>
    <w:rsid w:val="002F44F8"/>
    <w:rPr>
      <w:rFonts w:ascii="Tahoma" w:hAnsi="Tahoma" w:cs="Tahoma"/>
      <w:sz w:val="16"/>
      <w:szCs w:val="16"/>
    </w:rPr>
  </w:style>
  <w:style w:type="character" w:customStyle="1" w:styleId="BalloonTextChar">
    <w:name w:val="Balloon Text Char"/>
    <w:link w:val="BalloonText"/>
    <w:rsid w:val="002F44F8"/>
    <w:rPr>
      <w:rFonts w:ascii="Tahoma" w:hAnsi="Tahoma" w:cs="Tahoma"/>
      <w:sz w:val="16"/>
      <w:szCs w:val="16"/>
    </w:rPr>
  </w:style>
  <w:style w:type="paragraph" w:styleId="FootnoteText">
    <w:name w:val="footnote text"/>
    <w:basedOn w:val="Normal"/>
    <w:link w:val="FootnoteTextChar"/>
    <w:uiPriority w:val="99"/>
    <w:unhideWhenUsed/>
    <w:rsid w:val="002E69F0"/>
    <w:pPr>
      <w:spacing w:after="120"/>
      <w:ind w:firstLine="720"/>
    </w:pPr>
    <w:rPr>
      <w:rFonts w:eastAsia="Calibri"/>
      <w:sz w:val="20"/>
    </w:rPr>
  </w:style>
  <w:style w:type="character" w:customStyle="1" w:styleId="FootnoteTextChar">
    <w:name w:val="Footnote Text Char"/>
    <w:link w:val="FootnoteText"/>
    <w:uiPriority w:val="99"/>
    <w:rsid w:val="002E69F0"/>
    <w:rPr>
      <w:rFonts w:eastAsia="Calibri"/>
    </w:rPr>
  </w:style>
  <w:style w:type="character" w:styleId="FootnoteReference">
    <w:name w:val="footnote reference"/>
    <w:uiPriority w:val="99"/>
    <w:unhideWhenUsed/>
    <w:rsid w:val="003E5B27"/>
    <w:rPr>
      <w:vertAlign w:val="superscript"/>
    </w:rPr>
  </w:style>
  <w:style w:type="paragraph" w:styleId="ListParagraph">
    <w:name w:val="List Paragraph"/>
    <w:basedOn w:val="Normal"/>
    <w:uiPriority w:val="34"/>
    <w:qFormat/>
    <w:rsid w:val="003E5B27"/>
    <w:pPr>
      <w:spacing w:after="160" w:line="259" w:lineRule="auto"/>
      <w:ind w:left="720"/>
      <w:contextualSpacing/>
    </w:pPr>
    <w:rPr>
      <w:rFonts w:ascii="Calibri" w:eastAsia="Calibri" w:hAnsi="Calibri"/>
      <w:sz w:val="22"/>
      <w:szCs w:val="22"/>
    </w:rPr>
  </w:style>
  <w:style w:type="character" w:styleId="Hyperlink">
    <w:name w:val="Hyperlink"/>
    <w:uiPriority w:val="99"/>
    <w:unhideWhenUsed/>
    <w:rsid w:val="003E5B27"/>
    <w:rPr>
      <w:color w:val="0563C1"/>
      <w:u w:val="single"/>
    </w:rPr>
  </w:style>
  <w:style w:type="character" w:customStyle="1" w:styleId="apple-converted-space">
    <w:name w:val="apple-converted-space"/>
    <w:rsid w:val="00281EE0"/>
  </w:style>
  <w:style w:type="table" w:styleId="TableGrid">
    <w:name w:val="Table Grid"/>
    <w:basedOn w:val="TableNormal"/>
    <w:uiPriority w:val="39"/>
    <w:rsid w:val="002929FD"/>
    <w:rPr>
      <w:rFonts w:ascii="Arial" w:eastAsiaTheme="minorHAnsi" w:hAnsi="Arial"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C38C0"/>
    <w:rPr>
      <w:sz w:val="16"/>
      <w:szCs w:val="16"/>
    </w:rPr>
  </w:style>
  <w:style w:type="paragraph" w:styleId="CommentText">
    <w:name w:val="annotation text"/>
    <w:basedOn w:val="Normal"/>
    <w:link w:val="CommentTextChar"/>
    <w:rsid w:val="008C38C0"/>
    <w:rPr>
      <w:sz w:val="20"/>
    </w:rPr>
  </w:style>
  <w:style w:type="character" w:customStyle="1" w:styleId="CommentTextChar">
    <w:name w:val="Comment Text Char"/>
    <w:basedOn w:val="DefaultParagraphFont"/>
    <w:link w:val="CommentText"/>
    <w:rsid w:val="008C38C0"/>
  </w:style>
  <w:style w:type="paragraph" w:styleId="CommentSubject">
    <w:name w:val="annotation subject"/>
    <w:basedOn w:val="CommentText"/>
    <w:next w:val="CommentText"/>
    <w:link w:val="CommentSubjectChar"/>
    <w:semiHidden/>
    <w:unhideWhenUsed/>
    <w:rsid w:val="008C38C0"/>
    <w:rPr>
      <w:b/>
      <w:bCs/>
    </w:rPr>
  </w:style>
  <w:style w:type="character" w:customStyle="1" w:styleId="CommentSubjectChar">
    <w:name w:val="Comment Subject Char"/>
    <w:basedOn w:val="CommentTextChar"/>
    <w:link w:val="CommentSubject"/>
    <w:semiHidden/>
    <w:rsid w:val="008C38C0"/>
    <w:rPr>
      <w:b/>
      <w:bCs/>
    </w:rPr>
  </w:style>
  <w:style w:type="paragraph" w:styleId="Revision">
    <w:name w:val="Revision"/>
    <w:hidden/>
    <w:uiPriority w:val="99"/>
    <w:semiHidden/>
    <w:rsid w:val="001B7DAC"/>
    <w:rPr>
      <w:sz w:val="24"/>
    </w:rPr>
  </w:style>
  <w:style w:type="character" w:styleId="UnresolvedMention">
    <w:name w:val="Unresolved Mention"/>
    <w:basedOn w:val="DefaultParagraphFont"/>
    <w:uiPriority w:val="99"/>
    <w:semiHidden/>
    <w:unhideWhenUsed/>
    <w:rsid w:val="00A61382"/>
    <w:rPr>
      <w:color w:val="605E5C"/>
      <w:shd w:val="clear" w:color="auto" w:fill="E1DFDD"/>
    </w:rPr>
  </w:style>
  <w:style w:type="character" w:styleId="FollowedHyperlink">
    <w:name w:val="FollowedHyperlink"/>
    <w:basedOn w:val="DefaultParagraphFont"/>
    <w:rsid w:val="00A6138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613091">
      <w:bodyDiv w:val="1"/>
      <w:marLeft w:val="0"/>
      <w:marRight w:val="0"/>
      <w:marTop w:val="0"/>
      <w:marBottom w:val="0"/>
      <w:divBdr>
        <w:top w:val="none" w:sz="0" w:space="0" w:color="auto"/>
        <w:left w:val="none" w:sz="0" w:space="0" w:color="auto"/>
        <w:bottom w:val="none" w:sz="0" w:space="0" w:color="auto"/>
        <w:right w:val="none" w:sz="0" w:space="0" w:color="auto"/>
      </w:divBdr>
    </w:div>
    <w:div w:id="617294201">
      <w:bodyDiv w:val="1"/>
      <w:marLeft w:val="0"/>
      <w:marRight w:val="0"/>
      <w:marTop w:val="0"/>
      <w:marBottom w:val="0"/>
      <w:divBdr>
        <w:top w:val="none" w:sz="0" w:space="0" w:color="auto"/>
        <w:left w:val="none" w:sz="0" w:space="0" w:color="auto"/>
        <w:bottom w:val="none" w:sz="0" w:space="0" w:color="auto"/>
        <w:right w:val="none" w:sz="0" w:space="0" w:color="auto"/>
      </w:divBdr>
    </w:div>
    <w:div w:id="664935574">
      <w:bodyDiv w:val="1"/>
      <w:marLeft w:val="0"/>
      <w:marRight w:val="0"/>
      <w:marTop w:val="0"/>
      <w:marBottom w:val="0"/>
      <w:divBdr>
        <w:top w:val="none" w:sz="0" w:space="0" w:color="auto"/>
        <w:left w:val="none" w:sz="0" w:space="0" w:color="auto"/>
        <w:bottom w:val="none" w:sz="0" w:space="0" w:color="auto"/>
        <w:right w:val="none" w:sz="0" w:space="0" w:color="auto"/>
      </w:divBdr>
    </w:div>
    <w:div w:id="854347076">
      <w:bodyDiv w:val="1"/>
      <w:marLeft w:val="0"/>
      <w:marRight w:val="0"/>
      <w:marTop w:val="0"/>
      <w:marBottom w:val="0"/>
      <w:divBdr>
        <w:top w:val="none" w:sz="0" w:space="0" w:color="auto"/>
        <w:left w:val="none" w:sz="0" w:space="0" w:color="auto"/>
        <w:bottom w:val="none" w:sz="0" w:space="0" w:color="auto"/>
        <w:right w:val="none" w:sz="0" w:space="0" w:color="auto"/>
      </w:divBdr>
    </w:div>
    <w:div w:id="861358975">
      <w:bodyDiv w:val="1"/>
      <w:marLeft w:val="0"/>
      <w:marRight w:val="0"/>
      <w:marTop w:val="0"/>
      <w:marBottom w:val="0"/>
      <w:divBdr>
        <w:top w:val="none" w:sz="0" w:space="0" w:color="auto"/>
        <w:left w:val="none" w:sz="0" w:space="0" w:color="auto"/>
        <w:bottom w:val="none" w:sz="0" w:space="0" w:color="auto"/>
        <w:right w:val="none" w:sz="0" w:space="0" w:color="auto"/>
      </w:divBdr>
    </w:div>
    <w:div w:id="213162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texasadmin.com/tx/puct/work_session/202111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CABE3-6F2E-4B1D-BEB6-92EA3055F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726</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2022-06-01T19:46:00Z</dcterms:created>
  <dcterms:modified xsi:type="dcterms:W3CDTF">2022-06-01T19:52:00Z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